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B3" w:rsidRPr="00EA12A0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A12A0">
        <w:rPr>
          <w:rFonts w:asciiTheme="majorBidi" w:hAnsiTheme="majorBidi" w:cstheme="majorBidi"/>
          <w:b/>
          <w:bCs/>
          <w:sz w:val="32"/>
          <w:szCs w:val="32"/>
        </w:rPr>
        <w:t>Phrase simple et phrase complexe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A12A0">
        <w:rPr>
          <w:rFonts w:asciiTheme="majorBidi" w:hAnsiTheme="majorBidi" w:cstheme="majorBidi"/>
          <w:b/>
          <w:bCs/>
          <w:sz w:val="32"/>
          <w:szCs w:val="32"/>
        </w:rPr>
        <w:t>Juxtaposition, coordination, subordination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7E48B3">
        <w:rPr>
          <w:rFonts w:ascii="Times New Roman" w:hAnsi="Times New Roman" w:cs="Times New Roman"/>
          <w:b/>
          <w:bCs/>
        </w:rPr>
        <w:t>1.  La phrase à noyau verbal et la phrase à construction particulière</w:t>
      </w:r>
    </w:p>
    <w:p w:rsidR="007E48B3" w:rsidRP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La phrase est constituée d’un mot ou d’un ensemble de mots qui forment une unité syntaxique et qui font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sens. Une phrase graphique commence par une majuscule et se termine par un point.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On distingue la phrase à noyau verbal organisée autour d’un verbe conjugué, qui permet de situer l’action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dans le temps ou d’exprimer une nuance de mode (ordre, souhait…), de la phrase à construction particulière.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>Les élections ont eu lieu en mars. Les élections auront lieu en mars. Élections législatives en mars.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7E48B3" w:rsidRP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7E48B3">
        <w:rPr>
          <w:rFonts w:ascii="Times New Roman" w:hAnsi="Times New Roman" w:cs="Times New Roman"/>
          <w:b/>
          <w:bCs/>
        </w:rPr>
        <w:t>2.  Phrase simple et phrase complexe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Une phrase s’organise généralement autour d’un ou de plusieurs verbes conjugués.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 xml:space="preserve">[La chanteuse salua le public] [qui applaudissait]. </w:t>
      </w:r>
      <w:r w:rsidRPr="005D6E89">
        <w:rPr>
          <w:rFonts w:ascii="Times New Roman" w:hAnsi="Times New Roman" w:cs="Times New Roman"/>
        </w:rPr>
        <w:t>&amp; deux verbes, une phrase.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Une phrase qui ne comporte qu’un verbe conjugué est appelée phrase simple.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>Le public applaudissait les acteurs.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Une phrase qui comporte plusieurs verbes conjugués est appelée phrase complexe.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>Dès qu’il fait beau, nous sortons.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</w:p>
    <w:p w:rsidR="007E48B3" w:rsidRP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7E48B3">
        <w:rPr>
          <w:rFonts w:ascii="Times New Roman" w:hAnsi="Times New Roman" w:cs="Times New Roman"/>
          <w:b/>
          <w:bCs/>
        </w:rPr>
        <w:t>3.  Juxtaposition et coordination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Une phrase complexe peut être constituée de plusieurs phrases reliées par les procédés de la juxtaposition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et de la coordination.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– Les phrases juxtaposées (« posées à côté ») sont reliées entre elles par une virgule, un point-virgule ou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un deux-points. Elles entretiennent un rapport de sens, même s’il n’est pas exprimé (lien implicite) : liens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chronologiques (succession dans le temps) ou logiques (cause, conséquence, opposition…).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 xml:space="preserve">La mer était calme ; le vent était tombé. </w:t>
      </w:r>
      <w:r w:rsidRPr="005D6E89">
        <w:rPr>
          <w:rFonts w:ascii="Times New Roman" w:hAnsi="Times New Roman" w:cs="Times New Roman"/>
        </w:rPr>
        <w:t>&amp; deux phrases juxtaposées (lien implicite de cause).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– Les phrases coordonnées sont reliées par un coordonnant (conjonction de coordination ou adverbe de liaison 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puis, enfi</w:t>
      </w:r>
      <w:r w:rsidRPr="005D6E89">
        <w:rPr>
          <w:rFonts w:ascii="Times New Roman" w:hAnsi="Times New Roman" w:cs="Times New Roman"/>
          <w:i/>
          <w:iCs/>
        </w:rPr>
        <w:t>n</w:t>
      </w:r>
      <w:r w:rsidRPr="005D6E89">
        <w:rPr>
          <w:rFonts w:ascii="Times New Roman" w:hAnsi="Times New Roman" w:cs="Times New Roman"/>
        </w:rPr>
        <w:t>… La coordination permet d’exprimer de façon explicite les relations entre deux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faits ou actions. On peut coordonner entre elles des phrases simples ou plusieurs subordonnées.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 xml:space="preserve">[Elle sourit] car </w:t>
      </w:r>
      <w:r w:rsidRPr="005D6E89">
        <w:rPr>
          <w:rFonts w:ascii="Times New Roman" w:hAnsi="Times New Roman" w:cs="Times New Roman"/>
          <w:b/>
          <w:bCs/>
          <w:i/>
          <w:iCs/>
        </w:rPr>
        <w:t>[elle est heureuse]</w:t>
      </w:r>
      <w:r w:rsidRPr="005D6E89">
        <w:rPr>
          <w:rFonts w:ascii="Times New Roman" w:hAnsi="Times New Roman" w:cs="Times New Roman"/>
          <w:i/>
          <w:iCs/>
        </w:rPr>
        <w:t xml:space="preserve">. </w:t>
      </w:r>
      <w:r w:rsidRPr="005D6E89">
        <w:rPr>
          <w:rFonts w:ascii="Times New Roman" w:hAnsi="Times New Roman" w:cs="Times New Roman"/>
        </w:rPr>
        <w:t xml:space="preserve">&amp; deux phrases simples coordonnées par </w:t>
      </w:r>
      <w:r w:rsidRPr="005D6E89">
        <w:rPr>
          <w:rFonts w:ascii="Times New Roman" w:hAnsi="Times New Roman" w:cs="Times New Roman"/>
          <w:i/>
          <w:iCs/>
        </w:rPr>
        <w:t xml:space="preserve">car </w:t>
      </w:r>
      <w:r w:rsidRPr="005D6E89">
        <w:rPr>
          <w:rFonts w:ascii="Times New Roman" w:hAnsi="Times New Roman" w:cs="Times New Roman"/>
        </w:rPr>
        <w:t>(lien logique de cause).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i/>
          <w:iCs/>
        </w:rPr>
        <w:t xml:space="preserve">[Elle aime nager en Bretagne] </w:t>
      </w:r>
      <w:r w:rsidRPr="005D6E89">
        <w:rPr>
          <w:rFonts w:ascii="Times New Roman" w:hAnsi="Times New Roman" w:cs="Times New Roman"/>
          <w:b/>
          <w:bCs/>
          <w:i/>
          <w:iCs/>
        </w:rPr>
        <w:t xml:space="preserve">[quand l’eau est fraîche] </w:t>
      </w:r>
      <w:r w:rsidRPr="005D6E89">
        <w:rPr>
          <w:rFonts w:ascii="Times New Roman" w:hAnsi="Times New Roman" w:cs="Times New Roman"/>
          <w:i/>
          <w:iCs/>
        </w:rPr>
        <w:t xml:space="preserve">et </w:t>
      </w:r>
      <w:r w:rsidRPr="005D6E89">
        <w:rPr>
          <w:rFonts w:ascii="Times New Roman" w:hAnsi="Times New Roman" w:cs="Times New Roman"/>
          <w:b/>
          <w:bCs/>
          <w:i/>
          <w:iCs/>
        </w:rPr>
        <w:t>[que la plage est déserte]</w:t>
      </w:r>
      <w:r w:rsidRPr="005D6E89">
        <w:rPr>
          <w:rFonts w:ascii="Times New Roman" w:hAnsi="Times New Roman" w:cs="Times New Roman"/>
          <w:i/>
          <w:iCs/>
        </w:rPr>
        <w:t xml:space="preserve">. </w:t>
      </w:r>
      <w:r w:rsidRPr="005D6E89">
        <w:rPr>
          <w:rFonts w:ascii="Times New Roman" w:hAnsi="Times New Roman" w:cs="Times New Roman"/>
        </w:rPr>
        <w:t>&amp; deux subordonnées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 xml:space="preserve">coordonnées par la conjonction de coordination </w:t>
      </w:r>
      <w:r w:rsidRPr="005D6E89">
        <w:rPr>
          <w:rFonts w:ascii="Times New Roman" w:hAnsi="Times New Roman" w:cs="Times New Roman"/>
          <w:i/>
          <w:iCs/>
        </w:rPr>
        <w:t>et</w:t>
      </w:r>
      <w:r w:rsidRPr="005D6E89">
        <w:rPr>
          <w:rFonts w:ascii="Times New Roman" w:hAnsi="Times New Roman" w:cs="Times New Roman"/>
        </w:rPr>
        <w:t>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4.  </w:t>
      </w:r>
      <w:r w:rsidRPr="007E48B3">
        <w:rPr>
          <w:rFonts w:ascii="Times New Roman" w:hAnsi="Times New Roman" w:cs="Times New Roman"/>
          <w:b/>
          <w:bCs/>
        </w:rPr>
        <w:t>Subordination</w:t>
      </w:r>
    </w:p>
    <w:p w:rsidR="007E48B3" w:rsidRP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  <w:b/>
          <w:bCs/>
        </w:rPr>
      </w:pP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_ Une phrase complexe peut être constituée d’une phrase dont dépendent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une ou plusieurs subordonnées.</w:t>
      </w: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La phrase subordonnée est introduite par un subordonnant (conjonction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de subordination, pronom relatif, adverbe interrogatif), sauf si elle est</w:t>
      </w:r>
      <w:r>
        <w:rPr>
          <w:rFonts w:ascii="Times New Roman" w:hAnsi="Times New Roman" w:cs="Times New Roman"/>
        </w:rPr>
        <w:t xml:space="preserve"> infi</w:t>
      </w:r>
      <w:r w:rsidRPr="005D6E89">
        <w:rPr>
          <w:rFonts w:ascii="Times New Roman" w:hAnsi="Times New Roman" w:cs="Times New Roman"/>
        </w:rPr>
        <w:t>nitive ou participiale.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 xml:space="preserve">[Elle désire] </w:t>
      </w:r>
      <w:r w:rsidRPr="005D6E89">
        <w:rPr>
          <w:rFonts w:ascii="Times New Roman" w:hAnsi="Times New Roman" w:cs="Times New Roman"/>
          <w:b/>
          <w:bCs/>
          <w:i/>
          <w:iCs/>
        </w:rPr>
        <w:t>[</w:t>
      </w:r>
      <w:r w:rsidRPr="005D6E89">
        <w:rPr>
          <w:rFonts w:ascii="Times New Roman" w:hAnsi="Times New Roman" w:cs="Times New Roman"/>
          <w:i/>
          <w:iCs/>
        </w:rPr>
        <w:t xml:space="preserve">que </w:t>
      </w:r>
      <w:r w:rsidRPr="005D6E89">
        <w:rPr>
          <w:rFonts w:ascii="Times New Roman" w:hAnsi="Times New Roman" w:cs="Times New Roman"/>
          <w:b/>
          <w:bCs/>
          <w:i/>
          <w:iCs/>
        </w:rPr>
        <w:t>tout soit prêt à son retour]</w:t>
      </w:r>
      <w:r w:rsidRPr="005D6E89">
        <w:rPr>
          <w:rFonts w:ascii="Times New Roman" w:hAnsi="Times New Roman" w:cs="Times New Roman"/>
          <w:i/>
          <w:iCs/>
        </w:rPr>
        <w:t xml:space="preserve">. </w:t>
      </w:r>
      <w:r w:rsidRPr="005D6E89">
        <w:rPr>
          <w:rFonts w:ascii="Times New Roman" w:hAnsi="Times New Roman" w:cs="Times New Roman"/>
        </w:rPr>
        <w:t>&amp; une phrase complexe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comportant une subordonnée conjonctive introduite par la conjonction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 xml:space="preserve">de subordination </w:t>
      </w:r>
      <w:r w:rsidRPr="005D6E89">
        <w:rPr>
          <w:rFonts w:ascii="Times New Roman" w:hAnsi="Times New Roman" w:cs="Times New Roman"/>
          <w:i/>
          <w:iCs/>
        </w:rPr>
        <w:t>que</w:t>
      </w:r>
      <w:r w:rsidRPr="005D6E89">
        <w:rPr>
          <w:rFonts w:ascii="Times New Roman" w:hAnsi="Times New Roman" w:cs="Times New Roman"/>
        </w:rPr>
        <w:t>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</w:p>
    <w:p w:rsidR="00F32A1A" w:rsidRPr="005D6E89" w:rsidRDefault="00F32A1A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</w:p>
    <w:p w:rsidR="007E48B3" w:rsidRPr="005D6E89" w:rsidRDefault="007E48B3" w:rsidP="007E48B3">
      <w:pPr>
        <w:autoSpaceDE w:val="0"/>
        <w:autoSpaceDN w:val="0"/>
        <w:adjustRightInd w:val="0"/>
        <w:spacing w:before="0" w:beforeAutospacing="0" w:after="0" w:line="240" w:lineRule="auto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lastRenderedPageBreak/>
        <w:t>REMARQUE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Le même rapport logique peut s’exprimer par juxtaposition, coordination</w:t>
      </w:r>
      <w:r>
        <w:rPr>
          <w:rFonts w:ascii="Times New Roman" w:hAnsi="Times New Roman" w:cs="Times New Roman"/>
        </w:rPr>
        <w:t xml:space="preserve"> </w:t>
      </w:r>
      <w:r w:rsidRPr="005D6E89">
        <w:rPr>
          <w:rFonts w:ascii="Times New Roman" w:hAnsi="Times New Roman" w:cs="Times New Roman"/>
        </w:rPr>
        <w:t>ou subordination.</w:t>
      </w:r>
    </w:p>
    <w:p w:rsidR="007E48B3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i/>
          <w:iCs/>
        </w:rPr>
        <w:t>1. Nous aimons la Bretagne ; les paysages y sont sauvages.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&amp; lien implicite de cause, juxtaposition.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i/>
          <w:iCs/>
        </w:rPr>
        <w:t>2. Nous aimons la Bretagne car les paysages y sont sauvages.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&amp; lien explicite, coordination.</w:t>
      </w: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5D6E89">
        <w:rPr>
          <w:rFonts w:ascii="Times New Roman" w:hAnsi="Times New Roman" w:cs="Times New Roman"/>
          <w:i/>
          <w:iCs/>
        </w:rPr>
        <w:t>3. Nous aimons la Bretagne parce que les paysages y sont sauvages.</w:t>
      </w:r>
    </w:p>
    <w:p w:rsidR="007E48B3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&amp; lien explicite, subordination.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7E48B3" w:rsidRP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7E48B3">
        <w:rPr>
          <w:rFonts w:ascii="Times New Roman" w:hAnsi="Times New Roman" w:cs="Times New Roman"/>
          <w:b/>
          <w:bCs/>
        </w:rPr>
        <w:t>Les phrases subordonnées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7E48B3" w:rsidRPr="005D6E89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</w:rPr>
        <w:t>Définition</w:t>
      </w:r>
      <w:r>
        <w:rPr>
          <w:rFonts w:ascii="Times New Roman" w:hAnsi="Times New Roman" w:cs="Times New Roman"/>
        </w:rPr>
        <w:t>:</w:t>
      </w:r>
      <w:r w:rsidRPr="005D6E89">
        <w:rPr>
          <w:rFonts w:ascii="Times New Roman" w:hAnsi="Times New Roman" w:cs="Times New Roman"/>
        </w:rPr>
        <w:t xml:space="preserve"> Une phrase est subordonnée quand elle complète un élément extérieur à elle.</w:t>
      </w:r>
    </w:p>
    <w:p w:rsidR="007E48B3" w:rsidRDefault="007E48B3" w:rsidP="00F32A1A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5D6E89">
        <w:rPr>
          <w:rFonts w:ascii="Times New Roman" w:hAnsi="Times New Roman" w:cs="Times New Roman"/>
          <w:b/>
          <w:bCs/>
        </w:rPr>
        <w:t xml:space="preserve">Ex : </w:t>
      </w:r>
      <w:r w:rsidRPr="005D6E89">
        <w:rPr>
          <w:rFonts w:ascii="Times New Roman" w:hAnsi="Times New Roman" w:cs="Times New Roman"/>
          <w:i/>
          <w:iCs/>
        </w:rPr>
        <w:t>Je pense [qu’il réussira].</w:t>
      </w:r>
      <w:r>
        <w:rPr>
          <w:rFonts w:ascii="Times New Roman" w:hAnsi="Times New Roman" w:cs="Times New Roman"/>
          <w:i/>
          <w:iCs/>
        </w:rPr>
        <w:t xml:space="preserve"> </w:t>
      </w:r>
      <w:r w:rsidRPr="005D6E89">
        <w:rPr>
          <w:rFonts w:ascii="Times New Roman" w:hAnsi="Times New Roman" w:cs="Times New Roman"/>
        </w:rPr>
        <w:t>subordonnée</w:t>
      </w: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3110"/>
        <w:gridCol w:w="3095"/>
        <w:gridCol w:w="3083"/>
      </w:tblGrid>
      <w:tr w:rsidR="007E48B3" w:rsidTr="00D52D11"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>Subordonnants</w:t>
            </w:r>
          </w:p>
        </w:tc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>Subordonnées</w:t>
            </w:r>
          </w:p>
        </w:tc>
        <w:tc>
          <w:tcPr>
            <w:tcW w:w="3536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Bold" w:hAnsi="DIN-Bold" w:cs="DIN-Bold"/>
                <w:b/>
                <w:bCs/>
                <w:sz w:val="18"/>
                <w:szCs w:val="18"/>
              </w:rPr>
              <w:t>Exemples</w:t>
            </w:r>
          </w:p>
        </w:tc>
      </w:tr>
      <w:tr w:rsidR="007E48B3" w:rsidTr="00D52D11"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 xml:space="preserve">pronom relatif </w:t>
            </w: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qui, que, quoi,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 xml:space="preserve">dont, où, lequel </w:t>
            </w: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(et ses composés</w:t>
            </w:r>
          </w:p>
        </w:tc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Medium" w:hAnsi="DIN-Medium" w:cs="DIN-Medium"/>
                <w:color w:val="FF00FF"/>
                <w:sz w:val="18"/>
                <w:szCs w:val="18"/>
              </w:rPr>
            </w:pP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>Relative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complète un nom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J’ai loué la maison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est près de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la rivière.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aime bien châtie bien.</w:t>
            </w:r>
          </w:p>
        </w:tc>
      </w:tr>
      <w:tr w:rsidR="007E48B3" w:rsidTr="00D52D11"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 xml:space="preserve">conjonction de subordination </w:t>
            </w: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que</w:t>
            </w:r>
          </w:p>
        </w:tc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MediumItalic" w:hAnsi="DIN-MediumItalic" w:cs="DIN-MediumItalic"/>
                <w:i/>
                <w:iCs/>
                <w:color w:val="FF00FF"/>
                <w:sz w:val="18"/>
                <w:szCs w:val="18"/>
              </w:rPr>
            </w:pP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 xml:space="preserve">Conjonctive par </w:t>
            </w:r>
            <w:r>
              <w:rPr>
                <w:rFonts w:ascii="DIN-MediumItalic" w:hAnsi="DIN-MediumItalic" w:cs="DIN-MediumItalic"/>
                <w:i/>
                <w:iCs/>
                <w:color w:val="FF00FF"/>
                <w:sz w:val="18"/>
                <w:szCs w:val="18"/>
              </w:rPr>
              <w:t>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complète un verbe 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déclaration / d’opinion 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dire, penser, croire, douter…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– de volonté :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vouloir, souhaiter,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aimer…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– de sentiment :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craindre,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ne pas supporter…</w:t>
            </w:r>
          </w:p>
        </w:tc>
        <w:tc>
          <w:tcPr>
            <w:tcW w:w="3536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[Je doute] [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puisse répondre].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– [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vienne] [est possible].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FleshPlain" w:hAnsi="FleshPlain" w:cs="FleshPlain"/>
                <w:color w:val="1AFFA6"/>
              </w:rPr>
              <w:t xml:space="preserve">&amp;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Il est possible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vienne.</w:t>
            </w:r>
          </w:p>
        </w:tc>
      </w:tr>
      <w:tr w:rsidR="007E48B3" w:rsidTr="00D52D11"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Medium" w:hAnsi="DIN-Medium" w:cs="DIN-Medium"/>
                <w:color w:val="FF00FF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>conjonction de subordination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(ou locution conjonctive) 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quand, lorsque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– parce que, puisque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– de sorte que, si…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 xml:space="preserve">– pour que, </w:t>
            </w:r>
            <w:proofErr w:type="spellStart"/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afi</w:t>
            </w:r>
            <w:proofErr w:type="spellEnd"/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 xml:space="preserve"> n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– si, à condition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– comme, plus… que, moins… que,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aussi…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– bien que, quoique, quelque… que,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si… que</w:t>
            </w:r>
          </w:p>
        </w:tc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Medium" w:hAnsi="DIN-Medium" w:cs="DIN-Medium"/>
                <w:color w:val="FF00FF"/>
                <w:sz w:val="18"/>
                <w:szCs w:val="18"/>
              </w:rPr>
            </w:pP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>Conjonctive CP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complète une phrase et exprime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les nuances sémantiques 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temps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cause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conséquence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but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condition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de comparaison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– d’opposition / de concession</w:t>
            </w:r>
          </w:p>
        </w:tc>
        <w:tc>
          <w:tcPr>
            <w:tcW w:w="3536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Nous partons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quand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tu veux.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Il n’attendra pas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parce 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est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déjà en retard.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Il fait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si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beau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que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nous irons à la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plage.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Il range sa chambre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pour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sa mère soit contente.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Si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tu le désires, je viendrai.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Elle fait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comme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lui plaît.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Elle a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plus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de chance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elle ne le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croit.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>Quoiqu’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il ait raison, tu ne l’écoutes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pas.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Si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sauvage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que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soit ce renard,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tu l’apprivoiseras.</w:t>
            </w:r>
          </w:p>
        </w:tc>
      </w:tr>
      <w:tr w:rsidR="007E48B3" w:rsidTr="00D52D11"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 xml:space="preserve">pronom interrogatif </w:t>
            </w: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qui, que,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quoi, lequel, ce qui, ce que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 xml:space="preserve">adverbe interrogatif </w:t>
            </w: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quand, où,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comment, combien, pourquoi, si</w:t>
            </w:r>
          </w:p>
        </w:tc>
        <w:tc>
          <w:tcPr>
            <w:tcW w:w="3535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Medium" w:hAnsi="DIN-Medium" w:cs="DIN-Medium"/>
                <w:color w:val="FF00FF"/>
                <w:sz w:val="18"/>
                <w:szCs w:val="18"/>
              </w:rPr>
            </w:pPr>
            <w:r>
              <w:rPr>
                <w:rFonts w:ascii="DIN-Medium" w:hAnsi="DIN-Medium" w:cs="DIN-Medium"/>
                <w:color w:val="FF00FF"/>
                <w:sz w:val="18"/>
                <w:szCs w:val="18"/>
              </w:rPr>
              <w:t>Interrogative indirecte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" w:hAnsi="DIN-Regular" w:cs="DIN-Regular"/>
                <w:color w:val="000000"/>
                <w:sz w:val="18"/>
                <w:szCs w:val="18"/>
              </w:rPr>
            </w:pPr>
            <w:r>
              <w:rPr>
                <w:rFonts w:ascii="DIN-Regular" w:hAnsi="DIN-Regular" w:cs="DIN-Regular"/>
                <w:color w:val="000000"/>
                <w:sz w:val="18"/>
                <w:szCs w:val="18"/>
              </w:rPr>
              <w:t>complète un verbe comme :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demander, se demander, ne pas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000000"/>
                <w:sz w:val="18"/>
                <w:szCs w:val="18"/>
              </w:rPr>
              <w:t>savoir, ignorer, dire…</w:t>
            </w:r>
          </w:p>
        </w:tc>
        <w:tc>
          <w:tcPr>
            <w:tcW w:w="3536" w:type="dxa"/>
          </w:tcPr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Devine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qui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vient dîner.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 xml:space="preserve">– Je me demande </w:t>
            </w:r>
            <w:r>
              <w:rPr>
                <w:rFonts w:ascii="DIN-RegularItalic" w:hAnsi="DIN-RegularItalic" w:cs="DIN-RegularItalic"/>
                <w:i/>
                <w:iCs/>
                <w:color w:val="1AFFA6"/>
                <w:sz w:val="18"/>
                <w:szCs w:val="18"/>
              </w:rPr>
              <w:t xml:space="preserve">si </w:t>
            </w: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tu sais la</w:t>
            </w:r>
          </w:p>
          <w:p w:rsidR="007E48B3" w:rsidRDefault="007E48B3" w:rsidP="00D52D11">
            <w:pPr>
              <w:autoSpaceDE w:val="0"/>
              <w:autoSpaceDN w:val="0"/>
              <w:adjustRightInd w:val="0"/>
              <w:spacing w:beforeAutospacing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DIN-RegularItalic" w:hAnsi="DIN-RegularItalic" w:cs="DIN-RegularItalic"/>
                <w:i/>
                <w:iCs/>
                <w:color w:val="4D4D4D"/>
                <w:sz w:val="18"/>
                <w:szCs w:val="18"/>
              </w:rPr>
              <w:t>nouvelle</w:t>
            </w:r>
          </w:p>
        </w:tc>
      </w:tr>
    </w:tbl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</w:rPr>
      </w:pPr>
    </w:p>
    <w:p w:rsidR="007E48B3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</w:rPr>
      </w:pPr>
    </w:p>
    <w:p w:rsidR="00F32A1A" w:rsidRDefault="00F32A1A" w:rsidP="007E48B3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</w:rPr>
      </w:pPr>
    </w:p>
    <w:p w:rsidR="00F32A1A" w:rsidRDefault="00F32A1A" w:rsidP="007E48B3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</w:rPr>
      </w:pPr>
    </w:p>
    <w:p w:rsidR="00F32A1A" w:rsidRDefault="00F32A1A" w:rsidP="007E48B3">
      <w:pPr>
        <w:autoSpaceDE w:val="0"/>
        <w:autoSpaceDN w:val="0"/>
        <w:adjustRightInd w:val="0"/>
        <w:spacing w:before="0" w:beforeAutospacing="0" w:after="0"/>
        <w:ind w:left="0" w:firstLine="0"/>
        <w:jc w:val="center"/>
        <w:rPr>
          <w:rFonts w:ascii="Times New Roman" w:hAnsi="Times New Roman" w:cs="Times New Roman"/>
        </w:rPr>
      </w:pP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</w:rPr>
        <w:lastRenderedPageBreak/>
        <w:t>REMARQUES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</w:rPr>
        <w:t>_ Une phrase subordonnée peut compléter une autre subordonnée.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  <w:i/>
          <w:iCs/>
        </w:rPr>
      </w:pPr>
      <w:r w:rsidRPr="008D7F6E">
        <w:rPr>
          <w:rFonts w:ascii="Times New Roman" w:hAnsi="Times New Roman" w:cs="Times New Roman"/>
          <w:b/>
          <w:bCs/>
        </w:rPr>
        <w:t xml:space="preserve">Ex : </w:t>
      </w:r>
      <w:r w:rsidRPr="008D7F6E">
        <w:rPr>
          <w:rFonts w:ascii="Times New Roman" w:hAnsi="Times New Roman" w:cs="Times New Roman"/>
          <w:i/>
          <w:iCs/>
        </w:rPr>
        <w:t xml:space="preserve">Je pense </w:t>
      </w:r>
      <w:r w:rsidRPr="008D7F6E">
        <w:rPr>
          <w:rFonts w:ascii="Times New Roman" w:hAnsi="Times New Roman" w:cs="Times New Roman"/>
          <w:b/>
          <w:bCs/>
          <w:i/>
          <w:iCs/>
        </w:rPr>
        <w:t>[que</w:t>
      </w:r>
      <w:r w:rsidRPr="008D7F6E">
        <w:rPr>
          <w:rFonts w:ascii="Times New Roman" w:hAnsi="Times New Roman" w:cs="Times New Roman"/>
          <w:i/>
          <w:iCs/>
        </w:rPr>
        <w:t>, [si tu le lui demandes gentiment]</w:t>
      </w:r>
      <w:r w:rsidRPr="008D7F6E">
        <w:rPr>
          <w:rFonts w:ascii="Times New Roman" w:hAnsi="Times New Roman" w:cs="Times New Roman"/>
          <w:b/>
          <w:bCs/>
          <w:i/>
          <w:iCs/>
        </w:rPr>
        <w:t>, il ne refusera pas]</w:t>
      </w:r>
      <w:r w:rsidRPr="008D7F6E">
        <w:rPr>
          <w:rFonts w:ascii="Times New Roman" w:hAnsi="Times New Roman" w:cs="Times New Roman"/>
          <w:i/>
          <w:iCs/>
        </w:rPr>
        <w:t>.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</w:rPr>
        <w:t>_ Certaines phrases subordonnées ne comportent pas de subordonnant :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les phrases subordonnées infi</w:t>
      </w:r>
      <w:r w:rsidRPr="008D7F6E">
        <w:rPr>
          <w:rFonts w:ascii="Times New Roman" w:hAnsi="Times New Roman" w:cs="Times New Roman"/>
        </w:rPr>
        <w:t xml:space="preserve">nitives : elles complètent un verbe de perception </w:t>
      </w:r>
      <w:r w:rsidRPr="008D7F6E">
        <w:rPr>
          <w:rFonts w:ascii="Times New Roman" w:hAnsi="Times New Roman" w:cs="Times New Roman"/>
          <w:i/>
          <w:iCs/>
        </w:rPr>
        <w:t xml:space="preserve">(voir, entendre...) </w:t>
      </w:r>
      <w:r w:rsidRPr="008D7F6E">
        <w:rPr>
          <w:rFonts w:ascii="Times New Roman" w:hAnsi="Times New Roman" w:cs="Times New Roman"/>
        </w:rPr>
        <w:t>; leur verbe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 à l’infinitif ; le sujet de l’infi</w:t>
      </w:r>
      <w:r w:rsidRPr="008D7F6E">
        <w:rPr>
          <w:rFonts w:ascii="Times New Roman" w:hAnsi="Times New Roman" w:cs="Times New Roman"/>
        </w:rPr>
        <w:t>nitif est différent de celui du verbe principal ;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  <w:b/>
          <w:bCs/>
        </w:rPr>
        <w:t xml:space="preserve">Ex : </w:t>
      </w:r>
      <w:r w:rsidRPr="008D7F6E">
        <w:rPr>
          <w:rFonts w:ascii="Times New Roman" w:hAnsi="Times New Roman" w:cs="Times New Roman"/>
          <w:i/>
          <w:iCs/>
        </w:rPr>
        <w:t xml:space="preserve">Je regarde [les enfants jouer dans la cour]. </w:t>
      </w:r>
      <w:r w:rsidRPr="008D7F6E">
        <w:rPr>
          <w:rFonts w:ascii="Times New Roman" w:hAnsi="Times New Roman" w:cs="Times New Roman"/>
        </w:rPr>
        <w:t xml:space="preserve">&amp; sujet du verbe principal : </w:t>
      </w:r>
      <w:r w:rsidRPr="008D7F6E">
        <w:rPr>
          <w:rFonts w:ascii="Times New Roman" w:hAnsi="Times New Roman" w:cs="Times New Roman"/>
          <w:i/>
          <w:iCs/>
        </w:rPr>
        <w:t xml:space="preserve">je </w:t>
      </w:r>
      <w:r>
        <w:rPr>
          <w:rFonts w:ascii="Times New Roman" w:hAnsi="Times New Roman" w:cs="Times New Roman"/>
        </w:rPr>
        <w:t>; sujet de l’infi</w:t>
      </w:r>
      <w:r w:rsidRPr="008D7F6E">
        <w:rPr>
          <w:rFonts w:ascii="Times New Roman" w:hAnsi="Times New Roman" w:cs="Times New Roman"/>
        </w:rPr>
        <w:t xml:space="preserve">nitif : </w:t>
      </w:r>
      <w:r w:rsidRPr="008D7F6E">
        <w:rPr>
          <w:rFonts w:ascii="Times New Roman" w:hAnsi="Times New Roman" w:cs="Times New Roman"/>
          <w:i/>
          <w:iCs/>
        </w:rPr>
        <w:t>les enfants</w:t>
      </w:r>
      <w:r w:rsidRPr="008D7F6E">
        <w:rPr>
          <w:rFonts w:ascii="Times New Roman" w:hAnsi="Times New Roman" w:cs="Times New Roman"/>
        </w:rPr>
        <w:t>.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</w:rPr>
        <w:t>– les phrases participiales : leur verbe est au participe ; le sujet du participe est différent de celui du verbe</w:t>
      </w:r>
      <w:r>
        <w:rPr>
          <w:rFonts w:ascii="Times New Roman" w:hAnsi="Times New Roman" w:cs="Times New Roman"/>
        </w:rPr>
        <w:t xml:space="preserve"> </w:t>
      </w:r>
      <w:r w:rsidRPr="008D7F6E">
        <w:rPr>
          <w:rFonts w:ascii="Times New Roman" w:hAnsi="Times New Roman" w:cs="Times New Roman"/>
        </w:rPr>
        <w:t>principal ; elles ont la fonction de compléments de phrase.</w:t>
      </w:r>
    </w:p>
    <w:p w:rsidR="007E48B3" w:rsidRPr="008D7F6E" w:rsidRDefault="007E48B3" w:rsidP="007E48B3">
      <w:pPr>
        <w:autoSpaceDE w:val="0"/>
        <w:autoSpaceDN w:val="0"/>
        <w:adjustRightInd w:val="0"/>
        <w:spacing w:before="0" w:beforeAutospacing="0" w:after="0"/>
        <w:ind w:left="0" w:firstLine="0"/>
        <w:rPr>
          <w:rFonts w:ascii="Times New Roman" w:hAnsi="Times New Roman" w:cs="Times New Roman"/>
        </w:rPr>
      </w:pPr>
      <w:r w:rsidRPr="008D7F6E">
        <w:rPr>
          <w:rFonts w:ascii="Times New Roman" w:hAnsi="Times New Roman" w:cs="Times New Roman"/>
          <w:b/>
          <w:bCs/>
        </w:rPr>
        <w:t xml:space="preserve">Ex : </w:t>
      </w:r>
      <w:r w:rsidRPr="008D7F6E">
        <w:rPr>
          <w:rFonts w:ascii="Times New Roman" w:hAnsi="Times New Roman" w:cs="Times New Roman"/>
          <w:i/>
          <w:iCs/>
        </w:rPr>
        <w:t xml:space="preserve">[Le premier train étant parti], il prendra le suivant. </w:t>
      </w:r>
      <w:r w:rsidRPr="008D7F6E">
        <w:rPr>
          <w:rFonts w:ascii="Times New Roman" w:hAnsi="Times New Roman" w:cs="Times New Roman"/>
        </w:rPr>
        <w:t xml:space="preserve">&amp; sujet du participe : </w:t>
      </w:r>
      <w:r w:rsidRPr="008D7F6E">
        <w:rPr>
          <w:rFonts w:ascii="Times New Roman" w:hAnsi="Times New Roman" w:cs="Times New Roman"/>
          <w:i/>
          <w:iCs/>
        </w:rPr>
        <w:t xml:space="preserve">le premier train </w:t>
      </w:r>
      <w:r w:rsidRPr="008D7F6E">
        <w:rPr>
          <w:rFonts w:ascii="Times New Roman" w:hAnsi="Times New Roman" w:cs="Times New Roman"/>
        </w:rPr>
        <w:t>(différent du sujet du</w:t>
      </w:r>
      <w:r>
        <w:rPr>
          <w:rFonts w:ascii="Times New Roman" w:hAnsi="Times New Roman" w:cs="Times New Roman"/>
        </w:rPr>
        <w:t xml:space="preserve"> </w:t>
      </w:r>
      <w:r w:rsidRPr="008D7F6E">
        <w:rPr>
          <w:rFonts w:ascii="Times New Roman" w:hAnsi="Times New Roman" w:cs="Times New Roman"/>
        </w:rPr>
        <w:t xml:space="preserve">verbe de la principale qui est </w:t>
      </w:r>
      <w:r w:rsidRPr="008D7F6E">
        <w:rPr>
          <w:rFonts w:ascii="Times New Roman" w:hAnsi="Times New Roman" w:cs="Times New Roman"/>
          <w:i/>
          <w:iCs/>
        </w:rPr>
        <w:t>il</w:t>
      </w:r>
      <w:r w:rsidRPr="008D7F6E">
        <w:rPr>
          <w:rFonts w:ascii="Times New Roman" w:hAnsi="Times New Roman" w:cs="Times New Roman"/>
        </w:rPr>
        <w:t>) ; fonction de la subordonnée : C. de cause.</w:t>
      </w:r>
    </w:p>
    <w:p w:rsidR="0085029B" w:rsidRDefault="0085029B" w:rsidP="007E48B3"/>
    <w:sectPr w:rsidR="0085029B" w:rsidSect="007E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esh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48B3"/>
    <w:rsid w:val="00146FF4"/>
    <w:rsid w:val="002323FE"/>
    <w:rsid w:val="007E48B3"/>
    <w:rsid w:val="0085029B"/>
    <w:rsid w:val="00B870CB"/>
    <w:rsid w:val="00F3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20" w:line="276" w:lineRule="auto"/>
        <w:ind w:left="125" w:hanging="1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48B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902</Words>
  <Characters>4961</Characters>
  <Application>Microsoft Office Word</Application>
  <DocSecurity>0</DocSecurity>
  <Lines>41</Lines>
  <Paragraphs>11</Paragraphs>
  <ScaleCrop>false</ScaleCrop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2022-05-14T13:24:00Z</dcterms:created>
  <dcterms:modified xsi:type="dcterms:W3CDTF">2022-05-14T20:13:00Z</dcterms:modified>
</cp:coreProperties>
</file>