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188" w:rsidRPr="00F20390" w:rsidRDefault="00E44188" w:rsidP="00F20390">
      <w:pPr>
        <w:pStyle w:val="Default"/>
        <w:numPr>
          <w:ilvl w:val="0"/>
          <w:numId w:val="1"/>
        </w:numPr>
        <w:spacing w:after="120" w:line="360" w:lineRule="auto"/>
        <w:jc w:val="both"/>
        <w:rPr>
          <w:rFonts w:asciiTheme="majorBidi" w:hAnsiTheme="majorBidi" w:cstheme="majorBidi"/>
          <w:b/>
          <w:bCs/>
          <w:color w:val="auto"/>
        </w:rPr>
      </w:pPr>
      <w:r w:rsidRPr="00F20390">
        <w:rPr>
          <w:rFonts w:asciiTheme="majorBidi" w:hAnsiTheme="majorBidi" w:cstheme="majorBidi"/>
          <w:b/>
          <w:bCs/>
          <w:color w:val="auto"/>
        </w:rPr>
        <w:t xml:space="preserve">Les analyses physicochimiques des échantillons de sol </w:t>
      </w:r>
    </w:p>
    <w:p w:rsidR="00E44188" w:rsidRPr="00F20390" w:rsidRDefault="00E44188" w:rsidP="00F20390">
      <w:pPr>
        <w:pStyle w:val="Default"/>
        <w:numPr>
          <w:ilvl w:val="1"/>
          <w:numId w:val="1"/>
        </w:numPr>
        <w:spacing w:after="120" w:line="360" w:lineRule="auto"/>
        <w:jc w:val="both"/>
        <w:rPr>
          <w:rFonts w:asciiTheme="majorBidi" w:hAnsiTheme="majorBidi" w:cstheme="majorBidi"/>
          <w:color w:val="auto"/>
        </w:rPr>
      </w:pPr>
      <w:r w:rsidRPr="00F20390">
        <w:rPr>
          <w:rFonts w:asciiTheme="majorBidi" w:hAnsiTheme="majorBidi" w:cstheme="majorBidi"/>
          <w:b/>
          <w:bCs/>
          <w:color w:val="auto"/>
        </w:rPr>
        <w:t xml:space="preserve"> La mesure du pH </w:t>
      </w:r>
    </w:p>
    <w:p w:rsidR="00E44188" w:rsidRPr="00F20390" w:rsidRDefault="00E44188" w:rsidP="00F20390">
      <w:pPr>
        <w:pStyle w:val="Default"/>
        <w:spacing w:after="120" w:line="360" w:lineRule="auto"/>
        <w:ind w:firstLine="709"/>
        <w:jc w:val="both"/>
        <w:rPr>
          <w:rFonts w:asciiTheme="majorBidi" w:hAnsiTheme="majorBidi" w:cstheme="majorBidi"/>
          <w:color w:val="auto"/>
        </w:rPr>
      </w:pPr>
      <w:r w:rsidRPr="00F20390">
        <w:rPr>
          <w:rFonts w:asciiTheme="majorBidi" w:hAnsiTheme="majorBidi" w:cstheme="majorBidi"/>
          <w:color w:val="auto"/>
        </w:rPr>
        <w:t>Une solution de sol (1/2,5 ; P/V) est préparée en mélangeant dix grammes de sol tamisé à 2 mm dans 25 ml d’eau distillée. Après 20 minutes de repos, le pH est déterminé à l’aide d’un pH-mètre.</w:t>
      </w:r>
    </w:p>
    <w:p w:rsidR="00E44188" w:rsidRPr="00F20390" w:rsidRDefault="00E44188" w:rsidP="00F20390">
      <w:pPr>
        <w:pStyle w:val="Default"/>
        <w:numPr>
          <w:ilvl w:val="1"/>
          <w:numId w:val="1"/>
        </w:numPr>
        <w:spacing w:after="120" w:line="360" w:lineRule="auto"/>
        <w:jc w:val="both"/>
        <w:rPr>
          <w:rFonts w:asciiTheme="majorBidi" w:hAnsiTheme="majorBidi" w:cstheme="majorBidi"/>
          <w:color w:val="auto"/>
        </w:rPr>
      </w:pPr>
      <w:r w:rsidRPr="00F20390">
        <w:rPr>
          <w:rFonts w:asciiTheme="majorBidi" w:hAnsiTheme="majorBidi" w:cstheme="majorBidi"/>
          <w:b/>
          <w:bCs/>
          <w:color w:val="auto"/>
        </w:rPr>
        <w:t xml:space="preserve"> La mesure de la conductivité électrique (CE 1/5</w:t>
      </w:r>
      <w:r w:rsidRPr="00F20390">
        <w:rPr>
          <w:rFonts w:asciiTheme="majorBidi" w:hAnsiTheme="majorBidi" w:cstheme="majorBidi"/>
          <w:b/>
          <w:bCs/>
          <w:color w:val="auto"/>
          <w:vertAlign w:val="superscript"/>
        </w:rPr>
        <w:t>ème</w:t>
      </w:r>
      <w:r w:rsidRPr="00F20390">
        <w:rPr>
          <w:rFonts w:asciiTheme="majorBidi" w:hAnsiTheme="majorBidi" w:cstheme="majorBidi"/>
          <w:b/>
          <w:bCs/>
          <w:color w:val="auto"/>
        </w:rPr>
        <w:t xml:space="preserve">) </w:t>
      </w:r>
    </w:p>
    <w:p w:rsidR="00E44188" w:rsidRPr="00F20390" w:rsidRDefault="00E44188" w:rsidP="00F20390">
      <w:pPr>
        <w:pStyle w:val="Default"/>
        <w:spacing w:after="120" w:line="360" w:lineRule="auto"/>
        <w:ind w:firstLine="709"/>
        <w:jc w:val="both"/>
        <w:rPr>
          <w:rFonts w:asciiTheme="majorBidi" w:hAnsiTheme="majorBidi" w:cstheme="majorBidi"/>
          <w:color w:val="auto"/>
        </w:rPr>
      </w:pPr>
      <w:r w:rsidRPr="00F20390">
        <w:rPr>
          <w:rFonts w:asciiTheme="majorBidi" w:hAnsiTheme="majorBidi" w:cstheme="majorBidi"/>
          <w:color w:val="auto"/>
        </w:rPr>
        <w:t>Une solution de sol (1/5</w:t>
      </w:r>
      <w:r w:rsidRPr="00F20390">
        <w:rPr>
          <w:rFonts w:asciiTheme="majorBidi" w:hAnsiTheme="majorBidi" w:cstheme="majorBidi"/>
          <w:color w:val="auto"/>
          <w:vertAlign w:val="superscript"/>
        </w:rPr>
        <w:t>ème</w:t>
      </w:r>
      <w:r w:rsidRPr="00F20390">
        <w:rPr>
          <w:rFonts w:asciiTheme="majorBidi" w:hAnsiTheme="majorBidi" w:cstheme="majorBidi"/>
          <w:color w:val="auto"/>
        </w:rPr>
        <w:t>) est préparée en mélangeant vingt grammes (20g) de sol tamisé à 2 mm dans 100 ml d’eau distillée. Après une heure d’agitation dans un agitateur rotatif suivie d’une demi-heure de repos, la suspension est décantée dans un bécher et la conductivité est mesurée à l’aide d’un conductimètre.</w:t>
      </w:r>
    </w:p>
    <w:p w:rsidR="00E44188" w:rsidRPr="00F20390" w:rsidRDefault="00E44188" w:rsidP="00F20390">
      <w:pPr>
        <w:pStyle w:val="Default"/>
        <w:numPr>
          <w:ilvl w:val="1"/>
          <w:numId w:val="1"/>
        </w:numPr>
        <w:spacing w:after="120" w:line="360" w:lineRule="auto"/>
        <w:jc w:val="both"/>
        <w:rPr>
          <w:rFonts w:asciiTheme="majorBidi" w:hAnsiTheme="majorBidi" w:cstheme="majorBidi"/>
          <w:b/>
          <w:bCs/>
          <w:color w:val="auto"/>
        </w:rPr>
      </w:pPr>
      <w:r w:rsidRPr="00F20390">
        <w:rPr>
          <w:rFonts w:asciiTheme="majorBidi" w:hAnsiTheme="majorBidi" w:cstheme="majorBidi"/>
          <w:b/>
          <w:bCs/>
          <w:color w:val="auto"/>
        </w:rPr>
        <w:t xml:space="preserve"> La mesure du pourcentage d’humidité</w:t>
      </w:r>
    </w:p>
    <w:p w:rsidR="00E44188" w:rsidRPr="00F20390" w:rsidRDefault="00E44188" w:rsidP="00F20390">
      <w:pPr>
        <w:pStyle w:val="Default"/>
        <w:spacing w:after="120" w:line="360" w:lineRule="auto"/>
        <w:ind w:firstLine="709"/>
        <w:jc w:val="both"/>
        <w:rPr>
          <w:rFonts w:asciiTheme="majorBidi" w:hAnsiTheme="majorBidi" w:cstheme="majorBidi"/>
          <w:b/>
          <w:bCs/>
          <w:color w:val="auto"/>
        </w:rPr>
      </w:pPr>
      <w:r w:rsidRPr="00F20390">
        <w:rPr>
          <w:rFonts w:asciiTheme="majorBidi" w:hAnsiTheme="majorBidi" w:cstheme="majorBidi"/>
          <w:color w:val="auto"/>
        </w:rPr>
        <w:t>Cinq à dix grammes de sol tamisé à 2 mm sont séchés dans une étuve réglée à une température de 105°C jusqu’à obtention d’un poids constant. L'humidité du sol sera définie selon l’équation suivante</w:t>
      </w:r>
      <w:r w:rsidRPr="00F20390">
        <w:rPr>
          <w:rFonts w:asciiTheme="majorBidi" w:hAnsiTheme="majorBidi" w:cstheme="majorBidi"/>
          <w:b/>
          <w:bCs/>
          <w:color w:val="auto"/>
        </w:rPr>
        <w:t> :</w:t>
      </w:r>
    </w:p>
    <w:p w:rsidR="00E44188" w:rsidRPr="00F20390" w:rsidRDefault="00E44188" w:rsidP="00F20390">
      <w:pPr>
        <w:pStyle w:val="Default"/>
        <w:spacing w:after="120" w:line="360" w:lineRule="auto"/>
        <w:ind w:firstLine="709"/>
        <w:jc w:val="both"/>
        <w:rPr>
          <w:rFonts w:asciiTheme="majorBidi" w:hAnsiTheme="majorBidi" w:cstheme="majorBidi"/>
          <w:iCs/>
          <w:color w:val="auto"/>
        </w:rPr>
      </w:pPr>
      <m:oMathPara>
        <m:oMath>
          <m:r>
            <m:rPr>
              <m:nor/>
            </m:rPr>
            <w:rPr>
              <w:rFonts w:asciiTheme="majorBidi" w:hAnsiTheme="majorBidi" w:cstheme="majorBidi"/>
              <w:bCs/>
              <w:color w:val="auto"/>
            </w:rPr>
            <m:t>%H=</m:t>
          </m:r>
          <m:f>
            <m:fPr>
              <m:ctrlPr>
                <w:rPr>
                  <w:rFonts w:ascii="Cambria Math" w:hAnsi="Cambria Math" w:cstheme="majorBidi"/>
                  <w:bCs/>
                  <w:iCs/>
                  <w:color w:val="auto"/>
                </w:rPr>
              </m:ctrlPr>
            </m:fPr>
            <m:num>
              <m:r>
                <m:rPr>
                  <m:nor/>
                </m:rPr>
                <w:rPr>
                  <w:rFonts w:asciiTheme="majorBidi" w:hAnsiTheme="majorBidi" w:cstheme="majorBidi"/>
                  <w:bCs/>
                  <w:iCs/>
                  <w:color w:val="auto"/>
                </w:rPr>
                <m:t>PH-PS</m:t>
              </m:r>
            </m:num>
            <m:den>
              <m:r>
                <m:rPr>
                  <m:nor/>
                </m:rPr>
                <w:rPr>
                  <w:rFonts w:asciiTheme="majorBidi" w:hAnsiTheme="majorBidi" w:cstheme="majorBidi"/>
                  <w:bCs/>
                  <w:iCs/>
                  <w:color w:val="auto"/>
                </w:rPr>
                <m:t>PH</m:t>
              </m:r>
            </m:den>
          </m:f>
          <m:r>
            <m:rPr>
              <m:nor/>
            </m:rPr>
            <w:rPr>
              <w:rFonts w:asciiTheme="majorBidi" w:hAnsiTheme="majorBidi" w:cstheme="majorBidi"/>
              <w:bCs/>
              <w:iCs/>
              <w:color w:val="auto"/>
            </w:rPr>
            <m:t>x 100</m:t>
          </m:r>
        </m:oMath>
      </m:oMathPara>
    </w:p>
    <w:p w:rsidR="00E44188" w:rsidRPr="00F20390" w:rsidRDefault="00E44188" w:rsidP="00F20390">
      <w:pPr>
        <w:pStyle w:val="Default"/>
        <w:spacing w:line="360" w:lineRule="auto"/>
        <w:jc w:val="both"/>
        <w:rPr>
          <w:rFonts w:asciiTheme="majorBidi" w:hAnsiTheme="majorBidi" w:cstheme="majorBidi"/>
          <w:color w:val="auto"/>
        </w:rPr>
      </w:pPr>
      <w:r w:rsidRPr="00F20390">
        <w:rPr>
          <w:rFonts w:asciiTheme="majorBidi" w:hAnsiTheme="majorBidi" w:cstheme="majorBidi"/>
          <w:color w:val="auto"/>
        </w:rPr>
        <w:t xml:space="preserve">PH : </w:t>
      </w:r>
      <w:r w:rsidRPr="00F20390">
        <w:rPr>
          <w:rFonts w:asciiTheme="majorBidi" w:hAnsiTheme="majorBidi" w:cstheme="majorBidi"/>
          <w:color w:val="auto"/>
        </w:rPr>
        <w:tab/>
        <w:t xml:space="preserve">poids humide du sol </w:t>
      </w:r>
    </w:p>
    <w:p w:rsidR="00E44188" w:rsidRPr="00F20390" w:rsidRDefault="00E44188" w:rsidP="00F20390">
      <w:pPr>
        <w:pStyle w:val="Default"/>
        <w:spacing w:line="360" w:lineRule="auto"/>
        <w:jc w:val="both"/>
        <w:rPr>
          <w:rFonts w:asciiTheme="majorBidi" w:hAnsiTheme="majorBidi" w:cstheme="majorBidi"/>
          <w:color w:val="auto"/>
        </w:rPr>
      </w:pPr>
      <w:r w:rsidRPr="00F20390">
        <w:rPr>
          <w:rFonts w:asciiTheme="majorBidi" w:hAnsiTheme="majorBidi" w:cstheme="majorBidi"/>
          <w:color w:val="auto"/>
        </w:rPr>
        <w:t xml:space="preserve">PS : </w:t>
      </w:r>
      <w:r w:rsidRPr="00F20390">
        <w:rPr>
          <w:rFonts w:asciiTheme="majorBidi" w:hAnsiTheme="majorBidi" w:cstheme="majorBidi"/>
          <w:color w:val="auto"/>
        </w:rPr>
        <w:tab/>
        <w:t xml:space="preserve">poids sec du sol </w:t>
      </w:r>
    </w:p>
    <w:p w:rsidR="00E44188" w:rsidRPr="00F20390" w:rsidRDefault="00E44188" w:rsidP="00F20390">
      <w:pPr>
        <w:spacing w:after="0" w:line="360" w:lineRule="auto"/>
        <w:jc w:val="both"/>
        <w:rPr>
          <w:rFonts w:asciiTheme="majorBidi" w:hAnsiTheme="majorBidi" w:cstheme="majorBidi"/>
          <w:sz w:val="24"/>
          <w:szCs w:val="24"/>
        </w:rPr>
      </w:pPr>
      <w:r w:rsidRPr="00F20390">
        <w:rPr>
          <w:rFonts w:asciiTheme="majorBidi" w:hAnsiTheme="majorBidi" w:cstheme="majorBidi"/>
          <w:sz w:val="24"/>
          <w:szCs w:val="24"/>
        </w:rPr>
        <w:t xml:space="preserve">H : </w:t>
      </w:r>
      <w:r w:rsidRPr="00F20390">
        <w:rPr>
          <w:rFonts w:asciiTheme="majorBidi" w:hAnsiTheme="majorBidi" w:cstheme="majorBidi"/>
          <w:sz w:val="24"/>
          <w:szCs w:val="24"/>
        </w:rPr>
        <w:tab/>
        <w:t>pourcentage d’humidité</w:t>
      </w:r>
    </w:p>
    <w:p w:rsidR="00E44188" w:rsidRPr="00F20390" w:rsidRDefault="00E44188" w:rsidP="00F20390">
      <w:pPr>
        <w:pStyle w:val="Default"/>
        <w:numPr>
          <w:ilvl w:val="1"/>
          <w:numId w:val="1"/>
        </w:numPr>
        <w:spacing w:before="120" w:after="120" w:line="360" w:lineRule="auto"/>
        <w:jc w:val="both"/>
        <w:rPr>
          <w:rFonts w:asciiTheme="majorBidi" w:hAnsiTheme="majorBidi" w:cstheme="majorBidi"/>
          <w:b/>
          <w:bCs/>
          <w:color w:val="auto"/>
        </w:rPr>
      </w:pPr>
      <w:r w:rsidRPr="00F20390">
        <w:rPr>
          <w:rFonts w:asciiTheme="majorBidi" w:hAnsiTheme="majorBidi" w:cstheme="majorBidi"/>
          <w:b/>
          <w:bCs/>
          <w:color w:val="auto"/>
        </w:rPr>
        <w:t xml:space="preserve"> La mesure du pourcentage du carbone organique</w:t>
      </w:r>
    </w:p>
    <w:p w:rsidR="00E44188" w:rsidRPr="00F20390" w:rsidRDefault="00E44188" w:rsidP="00F20390">
      <w:pPr>
        <w:pStyle w:val="Default"/>
        <w:spacing w:after="120" w:line="360" w:lineRule="auto"/>
        <w:ind w:firstLine="709"/>
        <w:jc w:val="both"/>
        <w:rPr>
          <w:rFonts w:asciiTheme="majorBidi" w:hAnsiTheme="majorBidi" w:cstheme="majorBidi"/>
          <w:b/>
          <w:bCs/>
          <w:color w:val="auto"/>
        </w:rPr>
      </w:pPr>
      <w:r w:rsidRPr="00F20390">
        <w:rPr>
          <w:rFonts w:asciiTheme="majorBidi" w:hAnsiTheme="majorBidi" w:cstheme="majorBidi"/>
          <w:color w:val="auto"/>
        </w:rPr>
        <w:t>Après évaporation de l’eau pour la mesure du pourcentage d’humidité, la matière organique contenue dans les échantillons de sol secs est incinérée dans un four à moufle à 450°C pendant 16 heures. Le pourcentage de la matière organique est calculé selon l’équation suivante</w:t>
      </w:r>
      <w:r w:rsidRPr="00F20390">
        <w:rPr>
          <w:rFonts w:asciiTheme="majorBidi" w:hAnsiTheme="majorBidi" w:cstheme="majorBidi"/>
          <w:b/>
          <w:bCs/>
          <w:color w:val="auto"/>
        </w:rPr>
        <w:t xml:space="preserve"> : </w:t>
      </w:r>
    </w:p>
    <w:p w:rsidR="00E44188" w:rsidRPr="00F20390" w:rsidRDefault="00E44188" w:rsidP="00F20390">
      <w:pPr>
        <w:pStyle w:val="Default"/>
        <w:spacing w:after="120" w:line="360" w:lineRule="auto"/>
        <w:ind w:firstLine="709"/>
        <w:jc w:val="both"/>
        <w:rPr>
          <w:rFonts w:asciiTheme="majorBidi" w:hAnsiTheme="majorBidi" w:cstheme="majorBidi"/>
          <w:b/>
          <w:color w:val="auto"/>
        </w:rPr>
      </w:pPr>
      <m:oMathPara>
        <m:oMathParaPr>
          <m:jc m:val="center"/>
        </m:oMathParaPr>
        <m:oMath>
          <m:r>
            <m:rPr>
              <m:nor/>
            </m:rPr>
            <w:rPr>
              <w:rFonts w:asciiTheme="majorBidi" w:hAnsiTheme="majorBidi" w:cstheme="majorBidi"/>
              <w:b/>
              <w:color w:val="auto"/>
            </w:rPr>
            <m:t xml:space="preserve">% Matière organique= </m:t>
          </m:r>
          <m:f>
            <m:fPr>
              <m:ctrlPr>
                <w:rPr>
                  <w:rFonts w:ascii="Cambria Math" w:hAnsi="Cambria Math" w:cstheme="majorBidi"/>
                  <w:b/>
                  <w:color w:val="auto"/>
                </w:rPr>
              </m:ctrlPr>
            </m:fPr>
            <m:num>
              <m:r>
                <m:rPr>
                  <m:nor/>
                </m:rPr>
                <w:rPr>
                  <w:rFonts w:asciiTheme="majorBidi" w:hAnsiTheme="majorBidi" w:cstheme="majorBidi"/>
                  <w:b/>
                  <w:color w:val="auto"/>
                </w:rPr>
                <m:t>Poids du sol avant calcination-Poids du sol après calcination</m:t>
              </m:r>
            </m:num>
            <m:den>
              <m:r>
                <m:rPr>
                  <m:nor/>
                </m:rPr>
                <w:rPr>
                  <w:rFonts w:asciiTheme="majorBidi" w:hAnsiTheme="majorBidi" w:cstheme="majorBidi"/>
                  <w:b/>
                  <w:color w:val="auto"/>
                </w:rPr>
                <m:t xml:space="preserve"> Poids du sol avant calcination</m:t>
              </m:r>
            </m:den>
          </m:f>
          <m:r>
            <m:rPr>
              <m:nor/>
            </m:rPr>
            <w:rPr>
              <w:rFonts w:asciiTheme="majorBidi" w:hAnsiTheme="majorBidi" w:cstheme="majorBidi"/>
              <w:b/>
              <w:color w:val="auto"/>
            </w:rPr>
            <m:t>x100</m:t>
          </m:r>
        </m:oMath>
      </m:oMathPara>
    </w:p>
    <w:p w:rsidR="00596BF6" w:rsidRPr="00F20390" w:rsidRDefault="00596BF6" w:rsidP="00F20390">
      <w:pPr>
        <w:spacing w:line="360" w:lineRule="auto"/>
        <w:rPr>
          <w:rFonts w:asciiTheme="majorBidi" w:hAnsiTheme="majorBidi" w:cstheme="majorBidi"/>
          <w:sz w:val="24"/>
          <w:szCs w:val="24"/>
        </w:rPr>
      </w:pPr>
    </w:p>
    <w:p w:rsidR="00F20390" w:rsidRDefault="00F20390" w:rsidP="00F20390">
      <w:pPr>
        <w:spacing w:before="240" w:after="120" w:line="360" w:lineRule="auto"/>
        <w:jc w:val="both"/>
        <w:rPr>
          <w:rFonts w:asciiTheme="majorBidi" w:eastAsiaTheme="majorEastAsia" w:hAnsiTheme="majorBidi" w:cstheme="majorBidi"/>
          <w:b/>
          <w:sz w:val="24"/>
          <w:szCs w:val="24"/>
        </w:rPr>
      </w:pPr>
      <w:r>
        <w:rPr>
          <w:szCs w:val="24"/>
        </w:rPr>
        <w:br w:type="page"/>
      </w:r>
    </w:p>
    <w:p w:rsidR="00E44188" w:rsidRDefault="00E44188" w:rsidP="00F20390">
      <w:pPr>
        <w:pStyle w:val="Titre1"/>
        <w:spacing w:line="360" w:lineRule="auto"/>
        <w:rPr>
          <w:szCs w:val="24"/>
        </w:rPr>
      </w:pPr>
      <w:r w:rsidRPr="00F20390">
        <w:rPr>
          <w:szCs w:val="24"/>
        </w:rPr>
        <w:lastRenderedPageBreak/>
        <w:t>Préparation du milieu d’isolement</w:t>
      </w:r>
    </w:p>
    <w:p w:rsidR="00F20390" w:rsidRPr="00F20390" w:rsidRDefault="00F20390" w:rsidP="00F20390">
      <w:pPr>
        <w:spacing w:line="360" w:lineRule="auto"/>
      </w:pPr>
    </w:p>
    <w:p w:rsidR="00E44188" w:rsidRPr="00F20390" w:rsidRDefault="00E44188" w:rsidP="00F20390">
      <w:pPr>
        <w:spacing w:line="360" w:lineRule="auto"/>
        <w:rPr>
          <w:rFonts w:asciiTheme="majorBidi" w:hAnsiTheme="majorBidi" w:cstheme="majorBidi"/>
          <w:sz w:val="24"/>
          <w:szCs w:val="24"/>
        </w:rPr>
      </w:pPr>
      <w:r w:rsidRPr="00F20390">
        <w:rPr>
          <w:rFonts w:asciiTheme="majorBidi" w:hAnsiTheme="majorBidi" w:cstheme="majorBidi"/>
          <w:noProof/>
          <w:sz w:val="24"/>
          <w:szCs w:val="24"/>
        </w:rPr>
        <w:drawing>
          <wp:inline distT="0" distB="0" distL="0" distR="0">
            <wp:extent cx="4572000" cy="3429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E44188" w:rsidRPr="00F20390" w:rsidRDefault="00E44188" w:rsidP="00F20390">
      <w:pPr>
        <w:pStyle w:val="Titre1"/>
        <w:spacing w:line="360" w:lineRule="auto"/>
        <w:rPr>
          <w:szCs w:val="24"/>
        </w:rPr>
      </w:pPr>
      <w:r w:rsidRPr="00F20390">
        <w:rPr>
          <w:szCs w:val="24"/>
        </w:rPr>
        <w:t>Isolement de la flore microbienne du sol</w:t>
      </w:r>
    </w:p>
    <w:p w:rsidR="0070275C" w:rsidRPr="00F20390" w:rsidRDefault="0070275C" w:rsidP="00F20390">
      <w:pPr>
        <w:pStyle w:val="Default"/>
        <w:spacing w:after="120" w:line="360" w:lineRule="auto"/>
        <w:ind w:firstLine="709"/>
        <w:jc w:val="both"/>
        <w:rPr>
          <w:rFonts w:asciiTheme="majorBidi" w:hAnsiTheme="majorBidi" w:cstheme="majorBidi"/>
          <w:color w:val="auto"/>
        </w:rPr>
      </w:pPr>
      <w:r w:rsidRPr="00F20390">
        <w:rPr>
          <w:rFonts w:asciiTheme="majorBidi" w:hAnsiTheme="majorBidi" w:cstheme="majorBidi"/>
          <w:color w:val="auto"/>
        </w:rPr>
        <w:t>Des solutions de sol de chaque échantillon sont préparées en mélangeant 1g de sol dans 9 ml d’eau physiologique stérile et agitées vigoureusement au Vortex</w:t>
      </w:r>
      <w:r w:rsidRPr="00F20390">
        <w:rPr>
          <w:rFonts w:asciiTheme="majorBidi" w:hAnsiTheme="majorBidi" w:cstheme="majorBidi"/>
          <w:color w:val="auto"/>
          <w:vertAlign w:val="superscript"/>
        </w:rPr>
        <w:t xml:space="preserve">® </w:t>
      </w:r>
      <w:r w:rsidRPr="00F20390">
        <w:rPr>
          <w:rFonts w:asciiTheme="majorBidi" w:hAnsiTheme="majorBidi" w:cstheme="majorBidi"/>
          <w:color w:val="auto"/>
        </w:rPr>
        <w:t>pendant 5 min. à partir de cette dilution 10</w:t>
      </w:r>
      <w:r w:rsidRPr="00F20390">
        <w:rPr>
          <w:rFonts w:asciiTheme="majorBidi" w:hAnsiTheme="majorBidi" w:cstheme="majorBidi"/>
          <w:color w:val="auto"/>
          <w:vertAlign w:val="superscript"/>
        </w:rPr>
        <w:t>-1</w:t>
      </w:r>
      <w:r w:rsidRPr="00F20390">
        <w:rPr>
          <w:rFonts w:asciiTheme="majorBidi" w:hAnsiTheme="majorBidi" w:cstheme="majorBidi"/>
          <w:color w:val="auto"/>
        </w:rPr>
        <w:t>, les dilutions 10</w:t>
      </w:r>
      <w:r w:rsidRPr="00F20390">
        <w:rPr>
          <w:rFonts w:asciiTheme="majorBidi" w:hAnsiTheme="majorBidi" w:cstheme="majorBidi"/>
          <w:color w:val="auto"/>
          <w:vertAlign w:val="superscript"/>
        </w:rPr>
        <w:t>-2</w:t>
      </w:r>
      <w:r w:rsidRPr="00F20390">
        <w:rPr>
          <w:rFonts w:asciiTheme="majorBidi" w:hAnsiTheme="majorBidi" w:cstheme="majorBidi"/>
          <w:color w:val="auto"/>
        </w:rPr>
        <w:t>, 2 . 10</w:t>
      </w:r>
      <w:r w:rsidRPr="00F20390">
        <w:rPr>
          <w:rFonts w:asciiTheme="majorBidi" w:hAnsiTheme="majorBidi" w:cstheme="majorBidi"/>
          <w:color w:val="auto"/>
          <w:vertAlign w:val="superscript"/>
        </w:rPr>
        <w:t>-3</w:t>
      </w:r>
      <w:r w:rsidRPr="00F20390">
        <w:rPr>
          <w:rFonts w:asciiTheme="majorBidi" w:hAnsiTheme="majorBidi" w:cstheme="majorBidi"/>
          <w:color w:val="auto"/>
        </w:rPr>
        <w:t xml:space="preserve"> et 10</w:t>
      </w:r>
      <w:r w:rsidRPr="00F20390">
        <w:rPr>
          <w:rFonts w:asciiTheme="majorBidi" w:hAnsiTheme="majorBidi" w:cstheme="majorBidi"/>
          <w:color w:val="auto"/>
          <w:vertAlign w:val="superscript"/>
        </w:rPr>
        <w:t>-3</w:t>
      </w:r>
      <w:r w:rsidRPr="00F20390">
        <w:rPr>
          <w:rFonts w:asciiTheme="majorBidi" w:hAnsiTheme="majorBidi" w:cstheme="majorBidi"/>
          <w:color w:val="auto"/>
        </w:rPr>
        <w:t xml:space="preserve"> sont préparées. </w:t>
      </w:r>
    </w:p>
    <w:p w:rsidR="0070275C" w:rsidRPr="00F20390" w:rsidRDefault="0070275C" w:rsidP="00F20390">
      <w:pPr>
        <w:pStyle w:val="Default"/>
        <w:spacing w:after="120" w:line="360" w:lineRule="auto"/>
        <w:ind w:firstLine="709"/>
        <w:jc w:val="both"/>
        <w:rPr>
          <w:rFonts w:asciiTheme="majorBidi" w:hAnsiTheme="majorBidi" w:cstheme="majorBidi"/>
          <w:color w:val="auto"/>
        </w:rPr>
      </w:pPr>
      <w:r w:rsidRPr="00F20390">
        <w:rPr>
          <w:rFonts w:asciiTheme="majorBidi" w:hAnsiTheme="majorBidi" w:cstheme="majorBidi"/>
          <w:color w:val="auto"/>
        </w:rPr>
        <w:t xml:space="preserve">À partir de chaque dilution, les milieux sont ensemencés, à raison de 0,1 ml, en surface par étalement. </w:t>
      </w:r>
    </w:p>
    <w:p w:rsidR="0070275C" w:rsidRPr="00F20390" w:rsidRDefault="0070275C" w:rsidP="00F20390">
      <w:pPr>
        <w:pStyle w:val="Default"/>
        <w:spacing w:after="120" w:line="360" w:lineRule="auto"/>
        <w:ind w:firstLine="709"/>
        <w:jc w:val="both"/>
        <w:rPr>
          <w:rFonts w:asciiTheme="majorBidi" w:hAnsiTheme="majorBidi" w:cstheme="majorBidi"/>
          <w:color w:val="auto"/>
        </w:rPr>
      </w:pPr>
      <w:r w:rsidRPr="00F20390">
        <w:rPr>
          <w:rFonts w:asciiTheme="majorBidi" w:hAnsiTheme="majorBidi" w:cstheme="majorBidi"/>
          <w:color w:val="auto"/>
        </w:rPr>
        <w:t>Les boîtes de Pétri sont incubées à 30 °C pendant 7 jours. Des observations régulières sont effectuées chaque jour.</w:t>
      </w:r>
    </w:p>
    <w:p w:rsidR="0070275C" w:rsidRPr="00F20390" w:rsidRDefault="0070275C" w:rsidP="00F20390">
      <w:pPr>
        <w:spacing w:after="120" w:line="360" w:lineRule="auto"/>
        <w:jc w:val="both"/>
        <w:rPr>
          <w:rFonts w:asciiTheme="majorBidi" w:hAnsiTheme="majorBidi" w:cstheme="majorBidi"/>
          <w:sz w:val="24"/>
          <w:szCs w:val="24"/>
        </w:rPr>
      </w:pPr>
      <w:r w:rsidRPr="00F20390">
        <w:rPr>
          <w:rFonts w:asciiTheme="majorBidi" w:hAnsiTheme="majorBidi" w:cstheme="majorBidi"/>
          <w:sz w:val="24"/>
          <w:szCs w:val="24"/>
        </w:rPr>
        <w:t>Après le comptage des colonies, un dénombrement est réalisé en utilisant la formule :</w:t>
      </w:r>
    </w:p>
    <w:p w:rsidR="0070275C" w:rsidRPr="00F20390" w:rsidRDefault="0070275C" w:rsidP="00F20390">
      <w:pPr>
        <w:spacing w:after="120" w:line="360" w:lineRule="auto"/>
        <w:jc w:val="center"/>
        <w:rPr>
          <w:rFonts w:asciiTheme="majorBidi" w:hAnsiTheme="majorBidi" w:cstheme="majorBidi"/>
          <w:sz w:val="24"/>
          <w:szCs w:val="24"/>
          <w:lang w:val="en-US"/>
        </w:rPr>
      </w:pPr>
      <w:r w:rsidRPr="00F20390">
        <w:rPr>
          <w:rFonts w:asciiTheme="majorBidi" w:hAnsiTheme="majorBidi" w:cstheme="majorBidi"/>
          <w:b/>
          <w:bCs/>
          <w:sz w:val="24"/>
          <w:szCs w:val="24"/>
          <w:lang w:val="en-US"/>
        </w:rPr>
        <w:t>N (UFC/g)</w:t>
      </w:r>
      <w:r w:rsidRPr="00F20390">
        <w:rPr>
          <w:rFonts w:asciiTheme="majorBidi" w:hAnsiTheme="majorBidi" w:cstheme="majorBidi"/>
          <w:sz w:val="24"/>
          <w:szCs w:val="24"/>
          <w:lang w:val="en-US"/>
        </w:rPr>
        <w:t xml:space="preserve"> = </w:t>
      </w:r>
      <w:proofErr w:type="spellStart"/>
      <w:proofErr w:type="gramStart"/>
      <w:r w:rsidRPr="00F20390">
        <w:rPr>
          <w:rFonts w:asciiTheme="majorBidi" w:hAnsiTheme="majorBidi" w:cstheme="majorBidi"/>
          <w:b/>
          <w:bCs/>
          <w:sz w:val="24"/>
          <w:szCs w:val="24"/>
          <w:lang w:val="en-US"/>
        </w:rPr>
        <w:t>nc</w:t>
      </w:r>
      <w:proofErr w:type="spellEnd"/>
      <w:proofErr w:type="gramEnd"/>
      <w:r w:rsidRPr="00F20390">
        <w:rPr>
          <w:rFonts w:asciiTheme="majorBidi" w:hAnsiTheme="majorBidi" w:cstheme="majorBidi"/>
          <w:sz w:val="24"/>
          <w:szCs w:val="24"/>
          <w:lang w:val="en-US"/>
        </w:rPr>
        <w:t xml:space="preserve"> × </w:t>
      </w:r>
      <w:r w:rsidRPr="00F20390">
        <w:rPr>
          <w:rFonts w:asciiTheme="majorBidi" w:hAnsiTheme="majorBidi" w:cstheme="majorBidi"/>
          <w:b/>
          <w:bCs/>
          <w:sz w:val="24"/>
          <w:szCs w:val="24"/>
          <w:lang w:val="en-US"/>
        </w:rPr>
        <w:t>(1/</w:t>
      </w:r>
      <w:proofErr w:type="spellStart"/>
      <w:r w:rsidRPr="00F20390">
        <w:rPr>
          <w:rFonts w:asciiTheme="majorBidi" w:hAnsiTheme="majorBidi" w:cstheme="majorBidi"/>
          <w:b/>
          <w:bCs/>
          <w:sz w:val="24"/>
          <w:szCs w:val="24"/>
          <w:lang w:val="en-US"/>
        </w:rPr>
        <w:t>Ve</w:t>
      </w:r>
      <w:proofErr w:type="spellEnd"/>
      <w:r w:rsidRPr="00F20390">
        <w:rPr>
          <w:rFonts w:asciiTheme="majorBidi" w:hAnsiTheme="majorBidi" w:cstheme="majorBidi"/>
          <w:b/>
          <w:bCs/>
          <w:sz w:val="24"/>
          <w:szCs w:val="24"/>
          <w:lang w:val="en-US"/>
        </w:rPr>
        <w:t>)</w:t>
      </w:r>
      <w:r w:rsidRPr="00F20390">
        <w:rPr>
          <w:rFonts w:asciiTheme="majorBidi" w:hAnsiTheme="majorBidi" w:cstheme="majorBidi"/>
          <w:sz w:val="24"/>
          <w:szCs w:val="24"/>
          <w:lang w:val="en-US"/>
        </w:rPr>
        <w:t xml:space="preserve"> × </w:t>
      </w:r>
      <w:r w:rsidRPr="00F20390">
        <w:rPr>
          <w:rFonts w:asciiTheme="majorBidi" w:hAnsiTheme="majorBidi" w:cstheme="majorBidi"/>
          <w:b/>
          <w:bCs/>
          <w:sz w:val="24"/>
          <w:szCs w:val="24"/>
          <w:lang w:val="en-US"/>
        </w:rPr>
        <w:t>(1/d)</w:t>
      </w:r>
    </w:p>
    <w:p w:rsidR="0070275C" w:rsidRPr="00F20390" w:rsidRDefault="0070275C" w:rsidP="00F20390">
      <w:pPr>
        <w:spacing w:after="120" w:line="360" w:lineRule="auto"/>
        <w:jc w:val="both"/>
        <w:rPr>
          <w:rFonts w:asciiTheme="majorBidi" w:hAnsiTheme="majorBidi" w:cstheme="majorBidi"/>
          <w:sz w:val="24"/>
          <w:szCs w:val="24"/>
        </w:rPr>
      </w:pPr>
      <w:r w:rsidRPr="00F20390">
        <w:rPr>
          <w:rFonts w:asciiTheme="majorBidi" w:hAnsiTheme="majorBidi" w:cstheme="majorBidi"/>
          <w:sz w:val="24"/>
          <w:szCs w:val="24"/>
          <w:lang w:val="en-US"/>
        </w:rPr>
        <w:t xml:space="preserve"> </w:t>
      </w:r>
      <w:proofErr w:type="spellStart"/>
      <w:proofErr w:type="gramStart"/>
      <w:r w:rsidRPr="00F20390">
        <w:rPr>
          <w:rFonts w:asciiTheme="majorBidi" w:hAnsiTheme="majorBidi" w:cstheme="majorBidi"/>
          <w:sz w:val="24"/>
          <w:szCs w:val="24"/>
        </w:rPr>
        <w:t>nc</w:t>
      </w:r>
      <w:proofErr w:type="spellEnd"/>
      <w:proofErr w:type="gramEnd"/>
      <w:r w:rsidRPr="00F20390">
        <w:rPr>
          <w:rFonts w:asciiTheme="majorBidi" w:hAnsiTheme="majorBidi" w:cstheme="majorBidi"/>
          <w:sz w:val="24"/>
          <w:szCs w:val="24"/>
        </w:rPr>
        <w:t xml:space="preserve"> : nombre de colonies ; Ve= volume d’ensemencement (0,1ml) ; d : la dilution prise en compte. </w:t>
      </w:r>
    </w:p>
    <w:p w:rsidR="0070275C" w:rsidRPr="00F20390" w:rsidRDefault="0070275C" w:rsidP="00F20390">
      <w:pPr>
        <w:pStyle w:val="Default"/>
        <w:spacing w:after="120" w:line="360" w:lineRule="auto"/>
        <w:ind w:firstLine="709"/>
        <w:jc w:val="both"/>
        <w:rPr>
          <w:rFonts w:asciiTheme="majorBidi" w:hAnsiTheme="majorBidi" w:cstheme="majorBidi"/>
          <w:color w:val="auto"/>
        </w:rPr>
      </w:pPr>
    </w:p>
    <w:p w:rsidR="0070275C" w:rsidRPr="00F20390" w:rsidRDefault="0070275C" w:rsidP="00F20390">
      <w:pPr>
        <w:pStyle w:val="Titre1"/>
        <w:spacing w:line="360" w:lineRule="auto"/>
        <w:rPr>
          <w:szCs w:val="24"/>
        </w:rPr>
      </w:pPr>
      <w:proofErr w:type="spellStart"/>
      <w:r w:rsidRPr="00F20390">
        <w:rPr>
          <w:szCs w:val="24"/>
        </w:rPr>
        <w:t>Biocontrôle</w:t>
      </w:r>
      <w:proofErr w:type="spellEnd"/>
      <w:r w:rsidRPr="00F20390">
        <w:rPr>
          <w:szCs w:val="24"/>
        </w:rPr>
        <w:t> : technique des cylindres d’agar</w:t>
      </w:r>
    </w:p>
    <w:p w:rsidR="0070275C" w:rsidRPr="00F20390" w:rsidRDefault="0070275C" w:rsidP="00F20390">
      <w:pPr>
        <w:spacing w:line="360" w:lineRule="auto"/>
        <w:ind w:firstLine="708"/>
        <w:rPr>
          <w:rFonts w:asciiTheme="majorBidi" w:hAnsiTheme="majorBidi" w:cstheme="majorBidi"/>
          <w:sz w:val="24"/>
          <w:szCs w:val="24"/>
        </w:rPr>
      </w:pPr>
      <w:r w:rsidRPr="00F20390">
        <w:rPr>
          <w:rFonts w:asciiTheme="majorBidi" w:hAnsiTheme="majorBidi" w:cstheme="majorBidi"/>
          <w:sz w:val="24"/>
          <w:szCs w:val="24"/>
        </w:rPr>
        <w:t xml:space="preserve">La production de métabolites antifongiques par les souches d’actinomycètes ensemencées sur les milieux ISP2 et ISP4 est mise en évidence par la technique des cylindres d’agar en utilisant le milieu PDA pour les champignons. </w:t>
      </w:r>
    </w:p>
    <w:p w:rsidR="0070275C" w:rsidRPr="00F20390" w:rsidRDefault="0070275C" w:rsidP="00F20390">
      <w:pPr>
        <w:pStyle w:val="Titre3"/>
        <w:numPr>
          <w:ilvl w:val="0"/>
          <w:numId w:val="0"/>
        </w:numPr>
        <w:spacing w:line="360" w:lineRule="auto"/>
        <w:rPr>
          <w:rFonts w:asciiTheme="majorBidi" w:hAnsiTheme="majorBidi"/>
          <w:b/>
          <w:bCs/>
          <w:color w:val="auto"/>
          <w:rtl/>
        </w:rPr>
      </w:pPr>
      <w:bookmarkStart w:id="0" w:name="_Toc136692460"/>
      <w:bookmarkStart w:id="1" w:name="_Toc136692716"/>
      <w:r w:rsidRPr="00F20390">
        <w:rPr>
          <w:rFonts w:asciiTheme="majorBidi" w:hAnsiTheme="majorBidi"/>
          <w:b/>
          <w:bCs/>
          <w:color w:val="auto"/>
        </w:rPr>
        <w:lastRenderedPageBreak/>
        <w:t xml:space="preserve">Préparation des </w:t>
      </w:r>
      <w:bookmarkEnd w:id="0"/>
      <w:bookmarkEnd w:id="1"/>
      <w:r w:rsidRPr="00F20390">
        <w:rPr>
          <w:rFonts w:asciiTheme="majorBidi" w:hAnsiTheme="majorBidi"/>
          <w:b/>
          <w:bCs/>
          <w:color w:val="auto"/>
        </w:rPr>
        <w:t xml:space="preserve">suspensions </w:t>
      </w:r>
      <w:proofErr w:type="spellStart"/>
      <w:r w:rsidRPr="00F20390">
        <w:rPr>
          <w:rFonts w:asciiTheme="majorBidi" w:hAnsiTheme="majorBidi"/>
          <w:b/>
          <w:bCs/>
          <w:color w:val="auto"/>
        </w:rPr>
        <w:t>sporales</w:t>
      </w:r>
      <w:proofErr w:type="spellEnd"/>
    </w:p>
    <w:p w:rsidR="0070275C" w:rsidRPr="00F20390" w:rsidRDefault="0070275C" w:rsidP="00F20390">
      <w:pPr>
        <w:spacing w:line="360" w:lineRule="auto"/>
        <w:ind w:firstLine="708"/>
        <w:rPr>
          <w:rFonts w:asciiTheme="majorBidi" w:hAnsiTheme="majorBidi" w:cstheme="majorBidi"/>
          <w:sz w:val="24"/>
          <w:szCs w:val="24"/>
        </w:rPr>
      </w:pPr>
      <w:r w:rsidRPr="00F20390">
        <w:rPr>
          <w:rFonts w:asciiTheme="majorBidi" w:hAnsiTheme="majorBidi" w:cstheme="majorBidi"/>
          <w:sz w:val="24"/>
          <w:szCs w:val="24"/>
        </w:rPr>
        <w:t>Les champignons filamenteux sont repiqués sur milieu PDA et incubés à 30°C pendant 10 jours. Une suspension dense de spores est obtenue par addition de l’’eau physiologique stérile. La suspension est diluée de manière à obtenir une densité optique comprise entre 0,18-0,20 à 623 nm (environ10</w:t>
      </w:r>
      <w:r w:rsidRPr="00F20390">
        <w:rPr>
          <w:rFonts w:asciiTheme="majorBidi" w:hAnsiTheme="majorBidi" w:cstheme="majorBidi"/>
          <w:sz w:val="24"/>
          <w:szCs w:val="24"/>
          <w:vertAlign w:val="superscript"/>
        </w:rPr>
        <w:t>6</w:t>
      </w:r>
      <w:r w:rsidRPr="00F20390">
        <w:rPr>
          <w:rFonts w:asciiTheme="majorBidi" w:hAnsiTheme="majorBidi" w:cstheme="majorBidi"/>
          <w:sz w:val="24"/>
          <w:szCs w:val="24"/>
        </w:rPr>
        <w:t xml:space="preserve"> spores /ml).</w:t>
      </w:r>
    </w:p>
    <w:p w:rsidR="0070275C" w:rsidRPr="00F20390" w:rsidRDefault="0070275C" w:rsidP="00F20390">
      <w:pPr>
        <w:spacing w:after="160" w:line="360" w:lineRule="auto"/>
        <w:rPr>
          <w:rFonts w:asciiTheme="majorBidi" w:hAnsiTheme="majorBidi" w:cstheme="majorBidi"/>
          <w:b/>
          <w:bCs/>
          <w:sz w:val="24"/>
          <w:szCs w:val="24"/>
        </w:rPr>
      </w:pPr>
      <w:r w:rsidRPr="00F20390">
        <w:rPr>
          <w:rFonts w:asciiTheme="majorBidi" w:hAnsiTheme="majorBidi" w:cstheme="majorBidi"/>
          <w:b/>
          <w:bCs/>
          <w:sz w:val="24"/>
          <w:szCs w:val="24"/>
        </w:rPr>
        <w:t xml:space="preserve">Méthode de cylindre d’agar </w:t>
      </w:r>
    </w:p>
    <w:p w:rsidR="0070275C" w:rsidRPr="00F20390" w:rsidRDefault="0070275C" w:rsidP="00F20390">
      <w:pPr>
        <w:spacing w:line="360" w:lineRule="auto"/>
        <w:ind w:firstLine="708"/>
        <w:rPr>
          <w:rFonts w:asciiTheme="majorBidi" w:hAnsiTheme="majorBidi" w:cstheme="majorBidi"/>
          <w:sz w:val="24"/>
          <w:szCs w:val="24"/>
        </w:rPr>
      </w:pPr>
      <w:r w:rsidRPr="00F20390">
        <w:rPr>
          <w:rFonts w:asciiTheme="majorBidi" w:hAnsiTheme="majorBidi" w:cstheme="majorBidi"/>
          <w:sz w:val="24"/>
          <w:szCs w:val="24"/>
        </w:rPr>
        <w:t xml:space="preserve">Ce test consiste à ensemencer l’actinomycète en stries serrées sur les trois milieux de culture. Après incubation à 30°C pendant 7 jours, des cylindres de 6mm de diamètre sont découpés et déposés sur des boites de Pétri contenant le milieu PDA préalablement ensemencé par écouvillonnage à partir des suspensions </w:t>
      </w:r>
      <w:proofErr w:type="spellStart"/>
      <w:r w:rsidRPr="00F20390">
        <w:rPr>
          <w:rFonts w:asciiTheme="majorBidi" w:hAnsiTheme="majorBidi" w:cstheme="majorBidi"/>
          <w:sz w:val="24"/>
          <w:szCs w:val="24"/>
        </w:rPr>
        <w:t>sporales</w:t>
      </w:r>
      <w:proofErr w:type="spellEnd"/>
      <w:r w:rsidRPr="00F20390">
        <w:rPr>
          <w:rFonts w:asciiTheme="majorBidi" w:hAnsiTheme="majorBidi" w:cstheme="majorBidi"/>
          <w:sz w:val="24"/>
          <w:szCs w:val="24"/>
        </w:rPr>
        <w:t>. Ensuite, les boites sont déposées au réfrigérateur à 4°C pendant 4h puis incubées à 30°C pendant 48h.</w:t>
      </w:r>
    </w:p>
    <w:p w:rsidR="0070275C" w:rsidRPr="00F20390" w:rsidRDefault="0070275C" w:rsidP="00F20390">
      <w:pPr>
        <w:pStyle w:val="Titre3"/>
        <w:numPr>
          <w:ilvl w:val="0"/>
          <w:numId w:val="0"/>
        </w:numPr>
        <w:spacing w:line="360" w:lineRule="auto"/>
        <w:ind w:left="720" w:hanging="720"/>
        <w:rPr>
          <w:rFonts w:asciiTheme="majorBidi" w:hAnsiTheme="majorBidi"/>
          <w:b/>
          <w:bCs/>
          <w:color w:val="auto"/>
        </w:rPr>
      </w:pPr>
      <w:bookmarkStart w:id="2" w:name="_Toc136692461"/>
      <w:bookmarkStart w:id="3" w:name="_Toc136692717"/>
      <w:r w:rsidRPr="00F20390">
        <w:rPr>
          <w:rFonts w:asciiTheme="majorBidi" w:hAnsiTheme="majorBidi"/>
          <w:b/>
          <w:bCs/>
          <w:color w:val="auto"/>
        </w:rPr>
        <w:t>Lecture</w:t>
      </w:r>
      <w:bookmarkEnd w:id="2"/>
      <w:bookmarkEnd w:id="3"/>
      <w:r w:rsidRPr="00F20390">
        <w:rPr>
          <w:rFonts w:asciiTheme="majorBidi" w:hAnsiTheme="majorBidi"/>
          <w:b/>
          <w:bCs/>
          <w:color w:val="auto"/>
        </w:rPr>
        <w:t xml:space="preserve"> </w:t>
      </w:r>
    </w:p>
    <w:p w:rsidR="0070275C" w:rsidRPr="00F20390" w:rsidRDefault="0070275C" w:rsidP="00F20390">
      <w:pPr>
        <w:spacing w:line="360" w:lineRule="auto"/>
        <w:ind w:firstLine="567"/>
        <w:rPr>
          <w:rFonts w:asciiTheme="majorBidi" w:hAnsiTheme="majorBidi" w:cstheme="majorBidi"/>
          <w:sz w:val="24"/>
          <w:szCs w:val="24"/>
        </w:rPr>
      </w:pPr>
      <w:r w:rsidRPr="00F20390">
        <w:rPr>
          <w:rFonts w:asciiTheme="majorBidi" w:hAnsiTheme="majorBidi" w:cstheme="majorBidi"/>
          <w:sz w:val="24"/>
          <w:szCs w:val="24"/>
        </w:rPr>
        <w:t>Après incubation, la présence des zones d’inhibition indique un résultat positif. Cette zone est observée autour des disques d’actinomycètes ce qui signifie que ces bactéries produisent des molécules antifongiques capables d’arrêter la croissance des champignons-test. L’absence de zones d’inhibition claires autour des disques d’agar indique un résultat négatif.</w:t>
      </w:r>
    </w:p>
    <w:p w:rsidR="0070275C" w:rsidRPr="00F20390" w:rsidRDefault="0070275C" w:rsidP="00F20390">
      <w:pPr>
        <w:spacing w:line="360" w:lineRule="auto"/>
        <w:rPr>
          <w:rFonts w:asciiTheme="majorBidi" w:hAnsiTheme="majorBidi" w:cstheme="majorBidi"/>
          <w:sz w:val="24"/>
          <w:szCs w:val="24"/>
        </w:rPr>
      </w:pPr>
    </w:p>
    <w:p w:rsidR="0070275C" w:rsidRPr="00F20390" w:rsidRDefault="0070275C" w:rsidP="00F20390">
      <w:pPr>
        <w:spacing w:line="360" w:lineRule="auto"/>
        <w:rPr>
          <w:rFonts w:asciiTheme="majorBidi" w:hAnsiTheme="majorBidi" w:cstheme="majorBidi"/>
          <w:sz w:val="24"/>
          <w:szCs w:val="24"/>
        </w:rPr>
      </w:pPr>
    </w:p>
    <w:p w:rsidR="0070275C" w:rsidRPr="00F20390" w:rsidRDefault="0070275C" w:rsidP="00F20390">
      <w:pPr>
        <w:spacing w:line="360" w:lineRule="auto"/>
        <w:rPr>
          <w:rFonts w:asciiTheme="majorBidi" w:hAnsiTheme="majorBidi" w:cstheme="majorBidi"/>
          <w:sz w:val="24"/>
          <w:szCs w:val="24"/>
        </w:rPr>
      </w:pPr>
    </w:p>
    <w:p w:rsidR="0070275C" w:rsidRPr="00F20390" w:rsidRDefault="0070275C" w:rsidP="00F20390">
      <w:pPr>
        <w:spacing w:line="360" w:lineRule="auto"/>
        <w:rPr>
          <w:rFonts w:asciiTheme="majorBidi" w:hAnsiTheme="majorBidi" w:cstheme="majorBidi"/>
          <w:sz w:val="24"/>
          <w:szCs w:val="24"/>
        </w:rPr>
      </w:pPr>
      <w:bookmarkStart w:id="4" w:name="_GoBack"/>
      <w:bookmarkEnd w:id="4"/>
    </w:p>
    <w:sectPr w:rsidR="0070275C" w:rsidRPr="00F20390" w:rsidSect="00E441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D4B25"/>
    <w:multiLevelType w:val="hybridMultilevel"/>
    <w:tmpl w:val="BCB28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F03845"/>
    <w:multiLevelType w:val="multilevel"/>
    <w:tmpl w:val="7D243766"/>
    <w:lvl w:ilvl="0">
      <w:start w:val="2"/>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79B43AA7"/>
    <w:multiLevelType w:val="multilevel"/>
    <w:tmpl w:val="08586758"/>
    <w:lvl w:ilvl="0">
      <w:start w:val="1"/>
      <w:numFmt w:val="decimal"/>
      <w:lvlText w:val="%1."/>
      <w:lvlJc w:val="left"/>
      <w:pPr>
        <w:ind w:left="720" w:hanging="360"/>
      </w:pPr>
      <w:rPr>
        <w:b/>
        <w:bCs/>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88"/>
    <w:rsid w:val="00596BF6"/>
    <w:rsid w:val="0070275C"/>
    <w:rsid w:val="009D183A"/>
    <w:rsid w:val="00E44188"/>
    <w:rsid w:val="00F20390"/>
    <w:rsid w:val="00F652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52C2F-75DD-48CA-834F-8F0093A4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r-FR" w:eastAsia="en-US" w:bidi="ar-SA"/>
      </w:rPr>
    </w:rPrDefault>
    <w:pPrDefault>
      <w:pPr>
        <w:spacing w:before="24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188"/>
    <w:pPr>
      <w:spacing w:before="0" w:after="200" w:line="276" w:lineRule="auto"/>
      <w:jc w:val="left"/>
    </w:pPr>
    <w:rPr>
      <w:rFonts w:asciiTheme="minorHAnsi" w:eastAsiaTheme="minorEastAsia" w:hAnsiTheme="minorHAnsi" w:cstheme="minorBidi"/>
      <w:sz w:val="22"/>
      <w:szCs w:val="22"/>
      <w:lang w:eastAsia="fr-FR"/>
    </w:rPr>
  </w:style>
  <w:style w:type="paragraph" w:styleId="Titre1">
    <w:name w:val="heading 1"/>
    <w:basedOn w:val="Normal"/>
    <w:next w:val="Normal"/>
    <w:link w:val="Titre1Car"/>
    <w:uiPriority w:val="9"/>
    <w:qFormat/>
    <w:rsid w:val="00F20390"/>
    <w:pPr>
      <w:keepNext/>
      <w:keepLines/>
      <w:numPr>
        <w:numId w:val="2"/>
      </w:numPr>
      <w:spacing w:before="240" w:after="0"/>
      <w:outlineLvl w:val="0"/>
    </w:pPr>
    <w:rPr>
      <w:rFonts w:asciiTheme="majorBidi" w:eastAsiaTheme="majorEastAsia" w:hAnsiTheme="majorBidi" w:cstheme="majorBidi"/>
      <w:b/>
      <w:sz w:val="24"/>
      <w:szCs w:val="32"/>
    </w:rPr>
  </w:style>
  <w:style w:type="paragraph" w:styleId="Titre2">
    <w:name w:val="heading 2"/>
    <w:basedOn w:val="Normal"/>
    <w:next w:val="Normal"/>
    <w:link w:val="Titre2Car"/>
    <w:uiPriority w:val="9"/>
    <w:semiHidden/>
    <w:unhideWhenUsed/>
    <w:qFormat/>
    <w:rsid w:val="00E44188"/>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4418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4418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4418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4418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4418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4418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4418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44188"/>
    <w:pPr>
      <w:autoSpaceDE w:val="0"/>
      <w:autoSpaceDN w:val="0"/>
      <w:adjustRightInd w:val="0"/>
      <w:spacing w:before="0" w:after="0" w:line="240" w:lineRule="auto"/>
      <w:jc w:val="left"/>
    </w:pPr>
    <w:rPr>
      <w:rFonts w:ascii="Lucida Calligraphy" w:hAnsi="Lucida Calligraphy" w:cs="Lucida Calligraphy"/>
      <w:color w:val="000000"/>
    </w:rPr>
  </w:style>
  <w:style w:type="character" w:customStyle="1" w:styleId="Titre1Car">
    <w:name w:val="Titre 1 Car"/>
    <w:basedOn w:val="Policepardfaut"/>
    <w:link w:val="Titre1"/>
    <w:uiPriority w:val="9"/>
    <w:rsid w:val="00F20390"/>
    <w:rPr>
      <w:rFonts w:asciiTheme="majorBidi" w:eastAsiaTheme="majorEastAsia" w:hAnsiTheme="majorBidi" w:cstheme="majorBidi"/>
      <w:b/>
      <w:szCs w:val="32"/>
      <w:lang w:eastAsia="fr-FR"/>
    </w:rPr>
  </w:style>
  <w:style w:type="character" w:customStyle="1" w:styleId="Titre2Car">
    <w:name w:val="Titre 2 Car"/>
    <w:basedOn w:val="Policepardfaut"/>
    <w:link w:val="Titre2"/>
    <w:uiPriority w:val="9"/>
    <w:semiHidden/>
    <w:rsid w:val="00E44188"/>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E44188"/>
    <w:rPr>
      <w:rFonts w:asciiTheme="majorHAnsi" w:eastAsiaTheme="majorEastAsia" w:hAnsiTheme="majorHAnsi" w:cstheme="majorBidi"/>
      <w:color w:val="1F4D78" w:themeColor="accent1" w:themeShade="7F"/>
      <w:lang w:eastAsia="fr-FR"/>
    </w:rPr>
  </w:style>
  <w:style w:type="character" w:customStyle="1" w:styleId="Titre4Car">
    <w:name w:val="Titre 4 Car"/>
    <w:basedOn w:val="Policepardfaut"/>
    <w:link w:val="Titre4"/>
    <w:uiPriority w:val="9"/>
    <w:semiHidden/>
    <w:rsid w:val="00E44188"/>
    <w:rPr>
      <w:rFonts w:asciiTheme="majorHAnsi" w:eastAsiaTheme="majorEastAsia" w:hAnsiTheme="majorHAnsi" w:cstheme="majorBidi"/>
      <w:i/>
      <w:iCs/>
      <w:color w:val="2E74B5" w:themeColor="accent1" w:themeShade="BF"/>
      <w:sz w:val="22"/>
      <w:szCs w:val="22"/>
      <w:lang w:eastAsia="fr-FR"/>
    </w:rPr>
  </w:style>
  <w:style w:type="character" w:customStyle="1" w:styleId="Titre5Car">
    <w:name w:val="Titre 5 Car"/>
    <w:basedOn w:val="Policepardfaut"/>
    <w:link w:val="Titre5"/>
    <w:uiPriority w:val="9"/>
    <w:semiHidden/>
    <w:rsid w:val="00E44188"/>
    <w:rPr>
      <w:rFonts w:asciiTheme="majorHAnsi" w:eastAsiaTheme="majorEastAsia" w:hAnsiTheme="majorHAnsi" w:cstheme="majorBidi"/>
      <w:color w:val="2E74B5" w:themeColor="accent1" w:themeShade="BF"/>
      <w:sz w:val="22"/>
      <w:szCs w:val="22"/>
      <w:lang w:eastAsia="fr-FR"/>
    </w:rPr>
  </w:style>
  <w:style w:type="character" w:customStyle="1" w:styleId="Titre6Car">
    <w:name w:val="Titre 6 Car"/>
    <w:basedOn w:val="Policepardfaut"/>
    <w:link w:val="Titre6"/>
    <w:uiPriority w:val="9"/>
    <w:semiHidden/>
    <w:rsid w:val="00E44188"/>
    <w:rPr>
      <w:rFonts w:asciiTheme="majorHAnsi" w:eastAsiaTheme="majorEastAsia" w:hAnsiTheme="majorHAnsi" w:cstheme="majorBidi"/>
      <w:color w:val="1F4D78" w:themeColor="accent1" w:themeShade="7F"/>
      <w:sz w:val="22"/>
      <w:szCs w:val="22"/>
      <w:lang w:eastAsia="fr-FR"/>
    </w:rPr>
  </w:style>
  <w:style w:type="character" w:customStyle="1" w:styleId="Titre7Car">
    <w:name w:val="Titre 7 Car"/>
    <w:basedOn w:val="Policepardfaut"/>
    <w:link w:val="Titre7"/>
    <w:uiPriority w:val="9"/>
    <w:semiHidden/>
    <w:rsid w:val="00E44188"/>
    <w:rPr>
      <w:rFonts w:asciiTheme="majorHAnsi" w:eastAsiaTheme="majorEastAsia" w:hAnsiTheme="majorHAnsi" w:cstheme="majorBidi"/>
      <w:i/>
      <w:iCs/>
      <w:color w:val="1F4D78" w:themeColor="accent1" w:themeShade="7F"/>
      <w:sz w:val="22"/>
      <w:szCs w:val="22"/>
      <w:lang w:eastAsia="fr-FR"/>
    </w:rPr>
  </w:style>
  <w:style w:type="character" w:customStyle="1" w:styleId="Titre8Car">
    <w:name w:val="Titre 8 Car"/>
    <w:basedOn w:val="Policepardfaut"/>
    <w:link w:val="Titre8"/>
    <w:uiPriority w:val="9"/>
    <w:semiHidden/>
    <w:rsid w:val="00E441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E44188"/>
    <w:rPr>
      <w:rFonts w:asciiTheme="majorHAnsi" w:eastAsiaTheme="majorEastAsia" w:hAnsiTheme="majorHAnsi" w:cstheme="majorBidi"/>
      <w:i/>
      <w:iCs/>
      <w:color w:val="272727" w:themeColor="text1" w:themeTint="D8"/>
      <w:sz w:val="21"/>
      <w:szCs w:val="21"/>
      <w:lang w:eastAsia="fr-FR"/>
    </w:rPr>
  </w:style>
  <w:style w:type="paragraph" w:styleId="Paragraphedeliste">
    <w:name w:val="List Paragraph"/>
    <w:basedOn w:val="Normal"/>
    <w:uiPriority w:val="34"/>
    <w:qFormat/>
    <w:rsid w:val="0070275C"/>
    <w:pPr>
      <w:spacing w:before="120" w:after="120" w:line="360" w:lineRule="auto"/>
      <w:ind w:left="720" w:firstLine="284"/>
      <w:contextualSpacing/>
      <w:jc w:val="both"/>
    </w:pPr>
    <w:rPr>
      <w:rFonts w:ascii="Times New Roman" w:eastAsiaTheme="minorHAnsi" w:hAnsi="Times New Roman" w:cs="Times New Roman"/>
      <w:sz w:val="24"/>
      <w:szCs w:val="24"/>
      <w:lang w:eastAsia="en-US"/>
    </w:rPr>
  </w:style>
  <w:style w:type="paragraph" w:styleId="Lgende">
    <w:name w:val="caption"/>
    <w:basedOn w:val="Normal"/>
    <w:next w:val="Normal"/>
    <w:uiPriority w:val="35"/>
    <w:unhideWhenUsed/>
    <w:qFormat/>
    <w:rsid w:val="0070275C"/>
    <w:pPr>
      <w:spacing w:line="240" w:lineRule="auto"/>
      <w:ind w:firstLine="284"/>
      <w:jc w:val="center"/>
    </w:pPr>
    <w:rPr>
      <w:rFonts w:ascii="Times New Roman" w:eastAsiaTheme="minorHAnsi" w:hAnsi="Times New Roman" w:cs="Times New Roman"/>
      <w:b/>
      <w:bCs/>
      <w:sz w:val="24"/>
      <w:szCs w:val="24"/>
      <w:lang w:eastAsia="en-US"/>
    </w:rPr>
  </w:style>
  <w:style w:type="table" w:customStyle="1" w:styleId="Grilledutableau3">
    <w:name w:val="Grille du tableau3"/>
    <w:basedOn w:val="TableauNormal"/>
    <w:next w:val="Grilledutableau"/>
    <w:uiPriority w:val="59"/>
    <w:rsid w:val="0070275C"/>
    <w:pPr>
      <w:spacing w:before="0"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7027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3</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2025-03-25T14:54:00Z</dcterms:created>
  <dcterms:modified xsi:type="dcterms:W3CDTF">2025-03-26T08:58:00Z</dcterms:modified>
</cp:coreProperties>
</file>