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3F8" w:rsidRPr="000F7A1E" w:rsidRDefault="00A653F8" w:rsidP="00A653F8">
      <w:pPr>
        <w:bidi/>
        <w:jc w:val="lowKashida"/>
        <w:rPr>
          <w:rFonts w:asciiTheme="majorBidi" w:hAnsiTheme="majorBidi" w:cstheme="majorBidi"/>
          <w:b/>
          <w:bCs/>
          <w:sz w:val="32"/>
          <w:szCs w:val="32"/>
          <w:rtl/>
        </w:rPr>
      </w:pPr>
      <w:r w:rsidRPr="000F7A1E">
        <w:rPr>
          <w:rFonts w:asciiTheme="majorBidi" w:hAnsiTheme="majorBidi" w:cstheme="majorBidi"/>
          <w:b/>
          <w:bCs/>
          <w:sz w:val="32"/>
          <w:szCs w:val="32"/>
          <w:rtl/>
        </w:rPr>
        <w:t>المحاضرة 08</w:t>
      </w:r>
    </w:p>
    <w:p w:rsidR="00A653F8" w:rsidRPr="00690D7E" w:rsidRDefault="00A653F8" w:rsidP="00690D7E">
      <w:pPr>
        <w:pStyle w:val="Paragraphedeliste"/>
        <w:numPr>
          <w:ilvl w:val="0"/>
          <w:numId w:val="4"/>
        </w:numPr>
        <w:bidi/>
        <w:jc w:val="lowKashida"/>
        <w:rPr>
          <w:rFonts w:asciiTheme="majorBidi" w:hAnsiTheme="majorBidi" w:cstheme="majorBidi"/>
          <w:b/>
          <w:bCs/>
          <w:sz w:val="32"/>
          <w:szCs w:val="32"/>
        </w:rPr>
      </w:pPr>
      <w:r w:rsidRPr="00690D7E">
        <w:rPr>
          <w:rFonts w:asciiTheme="majorBidi" w:hAnsiTheme="majorBidi" w:cstheme="majorBidi" w:hint="cs"/>
          <w:b/>
          <w:bCs/>
          <w:sz w:val="32"/>
          <w:szCs w:val="32"/>
          <w:rtl/>
        </w:rPr>
        <w:t>عنوان الدرس :</w:t>
      </w:r>
      <w:r w:rsidRPr="00690D7E">
        <w:rPr>
          <w:rFonts w:asciiTheme="majorBidi" w:hAnsiTheme="majorBidi" w:cstheme="majorBidi"/>
          <w:b/>
          <w:bCs/>
          <w:sz w:val="32"/>
          <w:szCs w:val="32"/>
          <w:rtl/>
        </w:rPr>
        <w:t>فقه اللغة وسر العربية للثعالبي دراسة وصفية نظرية</w:t>
      </w:r>
    </w:p>
    <w:p w:rsidR="00690D7E" w:rsidRPr="00690D7E" w:rsidRDefault="00690D7E" w:rsidP="00690D7E">
      <w:pPr>
        <w:pStyle w:val="Paragraphedeliste"/>
        <w:numPr>
          <w:ilvl w:val="0"/>
          <w:numId w:val="4"/>
        </w:numPr>
        <w:bidi/>
        <w:jc w:val="lowKashida"/>
        <w:rPr>
          <w:rFonts w:asciiTheme="majorBidi" w:hAnsiTheme="majorBidi" w:cstheme="majorBidi" w:hint="cs"/>
          <w:b/>
          <w:bCs/>
          <w:sz w:val="32"/>
          <w:szCs w:val="32"/>
          <w:rtl/>
          <w:lang w:val="en-US" w:bidi="ar-DZ"/>
        </w:rPr>
      </w:pPr>
      <w:r w:rsidRPr="00690D7E">
        <w:rPr>
          <w:rFonts w:asciiTheme="majorBidi" w:hAnsiTheme="majorBidi" w:cstheme="majorBidi" w:hint="cs"/>
          <w:b/>
          <w:bCs/>
          <w:sz w:val="32"/>
          <w:szCs w:val="32"/>
          <w:rtl/>
          <w:lang w:val="en-US" w:bidi="ar-DZ"/>
        </w:rPr>
        <w:t>أهداف الدرس:</w:t>
      </w:r>
    </w:p>
    <w:p w:rsidR="00690D7E" w:rsidRPr="00181CA9" w:rsidRDefault="00690D7E" w:rsidP="00690D7E">
      <w:pPr>
        <w:pStyle w:val="Paragraphedeliste"/>
        <w:numPr>
          <w:ilvl w:val="0"/>
          <w:numId w:val="1"/>
        </w:numPr>
        <w:bidi/>
        <w:jc w:val="lowKashida"/>
        <w:rPr>
          <w:rFonts w:asciiTheme="majorBidi" w:hAnsiTheme="majorBidi" w:cstheme="majorBidi" w:hint="cs"/>
          <w:sz w:val="32"/>
          <w:szCs w:val="32"/>
          <w:lang w:val="en-US" w:bidi="ar-DZ"/>
        </w:rPr>
      </w:pPr>
      <w:r w:rsidRPr="00181CA9">
        <w:rPr>
          <w:rFonts w:asciiTheme="majorBidi" w:hAnsiTheme="majorBidi" w:cstheme="majorBidi" w:hint="cs"/>
          <w:sz w:val="32"/>
          <w:szCs w:val="32"/>
          <w:rtl/>
          <w:lang w:val="en-US" w:bidi="ar-DZ"/>
        </w:rPr>
        <w:t xml:space="preserve">التعرف على كتاب فقه اللغة </w:t>
      </w:r>
    </w:p>
    <w:p w:rsidR="00690D7E" w:rsidRPr="00181CA9" w:rsidRDefault="00690D7E" w:rsidP="00690D7E">
      <w:pPr>
        <w:pStyle w:val="Paragraphedeliste"/>
        <w:numPr>
          <w:ilvl w:val="0"/>
          <w:numId w:val="1"/>
        </w:numPr>
        <w:bidi/>
        <w:jc w:val="lowKashida"/>
        <w:rPr>
          <w:rFonts w:asciiTheme="majorBidi" w:hAnsiTheme="majorBidi" w:cstheme="majorBidi" w:hint="cs"/>
          <w:sz w:val="32"/>
          <w:szCs w:val="32"/>
          <w:lang w:val="en-US" w:bidi="ar-DZ"/>
        </w:rPr>
      </w:pPr>
      <w:r w:rsidRPr="00181CA9">
        <w:rPr>
          <w:rFonts w:asciiTheme="majorBidi" w:hAnsiTheme="majorBidi" w:cstheme="majorBidi" w:hint="cs"/>
          <w:sz w:val="32"/>
          <w:szCs w:val="32"/>
          <w:rtl/>
          <w:lang w:val="en-US" w:bidi="ar-DZ"/>
        </w:rPr>
        <w:t xml:space="preserve">التعريف بمحتوى الكتاب </w:t>
      </w:r>
    </w:p>
    <w:p w:rsidR="00690D7E" w:rsidRPr="00181CA9" w:rsidRDefault="00690D7E" w:rsidP="00690D7E">
      <w:pPr>
        <w:pStyle w:val="Paragraphedeliste"/>
        <w:numPr>
          <w:ilvl w:val="0"/>
          <w:numId w:val="1"/>
        </w:numPr>
        <w:bidi/>
        <w:jc w:val="lowKashida"/>
        <w:rPr>
          <w:rFonts w:asciiTheme="majorBidi" w:hAnsiTheme="majorBidi" w:cstheme="majorBidi" w:hint="cs"/>
          <w:sz w:val="32"/>
          <w:szCs w:val="32"/>
          <w:lang w:val="en-US" w:bidi="ar-DZ"/>
        </w:rPr>
      </w:pPr>
      <w:r w:rsidRPr="00181CA9">
        <w:rPr>
          <w:rFonts w:asciiTheme="majorBidi" w:hAnsiTheme="majorBidi" w:cstheme="majorBidi" w:hint="cs"/>
          <w:sz w:val="32"/>
          <w:szCs w:val="32"/>
          <w:rtl/>
          <w:lang w:val="en-US" w:bidi="ar-DZ"/>
        </w:rPr>
        <w:t xml:space="preserve">التعرف على مصادر مادة فقه اللغة </w:t>
      </w:r>
      <w:r w:rsidR="00A212F8" w:rsidRPr="00181CA9">
        <w:rPr>
          <w:rFonts w:asciiTheme="majorBidi" w:hAnsiTheme="majorBidi" w:cstheme="majorBidi" w:hint="cs"/>
          <w:sz w:val="32"/>
          <w:szCs w:val="32"/>
          <w:rtl/>
          <w:lang w:val="en-US" w:bidi="ar-DZ"/>
        </w:rPr>
        <w:t>وأسرار</w:t>
      </w:r>
      <w:r w:rsidRPr="00181CA9">
        <w:rPr>
          <w:rFonts w:asciiTheme="majorBidi" w:hAnsiTheme="majorBidi" w:cstheme="majorBidi" w:hint="cs"/>
          <w:sz w:val="32"/>
          <w:szCs w:val="32"/>
          <w:rtl/>
          <w:lang w:val="en-US" w:bidi="ar-DZ"/>
        </w:rPr>
        <w:t xml:space="preserve"> العربية </w:t>
      </w:r>
    </w:p>
    <w:p w:rsidR="00690D7E" w:rsidRPr="00181CA9" w:rsidRDefault="00690D7E" w:rsidP="00690D7E">
      <w:pPr>
        <w:pStyle w:val="Paragraphedeliste"/>
        <w:numPr>
          <w:ilvl w:val="0"/>
          <w:numId w:val="1"/>
        </w:numPr>
        <w:bidi/>
        <w:jc w:val="lowKashida"/>
        <w:rPr>
          <w:rFonts w:asciiTheme="majorBidi" w:hAnsiTheme="majorBidi" w:cstheme="majorBidi" w:hint="cs"/>
          <w:sz w:val="32"/>
          <w:szCs w:val="32"/>
          <w:lang w:val="en-US" w:bidi="ar-DZ"/>
        </w:rPr>
      </w:pPr>
      <w:r w:rsidRPr="00181CA9">
        <w:rPr>
          <w:rFonts w:asciiTheme="majorBidi" w:hAnsiTheme="majorBidi" w:cstheme="majorBidi" w:hint="cs"/>
          <w:sz w:val="32"/>
          <w:szCs w:val="32"/>
          <w:rtl/>
          <w:lang w:val="en-US" w:bidi="ar-DZ"/>
        </w:rPr>
        <w:t>التعرف على بعض نماذج من كتاب فقه اللغة للثعالبي</w:t>
      </w:r>
    </w:p>
    <w:p w:rsidR="00690D7E" w:rsidRPr="00690D7E" w:rsidRDefault="00690D7E" w:rsidP="00690D7E">
      <w:pPr>
        <w:pStyle w:val="Paragraphedeliste"/>
        <w:numPr>
          <w:ilvl w:val="0"/>
          <w:numId w:val="3"/>
        </w:numPr>
        <w:bidi/>
        <w:jc w:val="lowKashida"/>
        <w:rPr>
          <w:rFonts w:asciiTheme="majorBidi" w:hAnsiTheme="majorBidi" w:cstheme="majorBidi" w:hint="cs"/>
          <w:b/>
          <w:bCs/>
          <w:sz w:val="32"/>
          <w:szCs w:val="32"/>
          <w:lang w:val="en-US" w:bidi="ar-DZ"/>
        </w:rPr>
      </w:pPr>
      <w:r w:rsidRPr="00690D7E">
        <w:rPr>
          <w:rFonts w:asciiTheme="majorBidi" w:hAnsiTheme="majorBidi" w:cstheme="majorBidi" w:hint="cs"/>
          <w:b/>
          <w:bCs/>
          <w:sz w:val="32"/>
          <w:szCs w:val="32"/>
          <w:rtl/>
          <w:lang w:val="en-US" w:bidi="ar-DZ"/>
        </w:rPr>
        <w:t>مراحل الدرس:</w:t>
      </w:r>
    </w:p>
    <w:p w:rsidR="00690D7E" w:rsidRPr="00181CA9" w:rsidRDefault="00690D7E" w:rsidP="00690D7E">
      <w:pPr>
        <w:pStyle w:val="Paragraphedeliste"/>
        <w:numPr>
          <w:ilvl w:val="0"/>
          <w:numId w:val="1"/>
        </w:numPr>
        <w:bidi/>
        <w:jc w:val="lowKashida"/>
        <w:rPr>
          <w:rFonts w:asciiTheme="majorBidi" w:hAnsiTheme="majorBidi" w:cstheme="majorBidi" w:hint="cs"/>
          <w:sz w:val="32"/>
          <w:szCs w:val="32"/>
          <w:lang w:val="en-US" w:bidi="ar-DZ"/>
        </w:rPr>
      </w:pPr>
      <w:r w:rsidRPr="00181CA9">
        <w:rPr>
          <w:rFonts w:asciiTheme="majorBidi" w:hAnsiTheme="majorBidi" w:cstheme="majorBidi" w:hint="cs"/>
          <w:sz w:val="32"/>
          <w:szCs w:val="32"/>
          <w:rtl/>
          <w:lang w:val="en-US" w:bidi="ar-DZ"/>
        </w:rPr>
        <w:t xml:space="preserve">التعريف على شخصية الثعالبي </w:t>
      </w:r>
    </w:p>
    <w:p w:rsidR="00690D7E" w:rsidRPr="00951931" w:rsidRDefault="00690D7E" w:rsidP="00951931">
      <w:pPr>
        <w:pStyle w:val="Paragraphedeliste"/>
        <w:numPr>
          <w:ilvl w:val="0"/>
          <w:numId w:val="1"/>
        </w:numPr>
        <w:bidi/>
        <w:jc w:val="lowKashida"/>
        <w:rPr>
          <w:rFonts w:asciiTheme="majorBidi" w:hAnsiTheme="majorBidi" w:cstheme="majorBidi" w:hint="cs"/>
          <w:sz w:val="32"/>
          <w:szCs w:val="32"/>
          <w:rtl/>
          <w:lang w:val="en-US" w:bidi="ar-DZ"/>
        </w:rPr>
      </w:pPr>
      <w:r w:rsidRPr="00181CA9">
        <w:rPr>
          <w:rFonts w:asciiTheme="majorBidi" w:hAnsiTheme="majorBidi" w:cstheme="majorBidi" w:hint="cs"/>
          <w:sz w:val="32"/>
          <w:szCs w:val="32"/>
          <w:rtl/>
          <w:lang w:val="en-US" w:bidi="ar-DZ"/>
        </w:rPr>
        <w:t>أهم أعماله</w:t>
      </w:r>
      <w:r w:rsidR="008A2F9D" w:rsidRPr="00181CA9">
        <w:rPr>
          <w:rFonts w:asciiTheme="majorBidi" w:hAnsiTheme="majorBidi" w:cstheme="majorBidi" w:hint="cs"/>
          <w:sz w:val="32"/>
          <w:szCs w:val="32"/>
          <w:rtl/>
          <w:lang w:val="en-US" w:bidi="ar-DZ"/>
        </w:rPr>
        <w:t xml:space="preserve"> ونشاطاته</w:t>
      </w:r>
      <w:r w:rsidRPr="00951931">
        <w:rPr>
          <w:rFonts w:asciiTheme="majorBidi" w:hAnsiTheme="majorBidi" w:cstheme="majorBidi" w:hint="cs"/>
          <w:sz w:val="32"/>
          <w:szCs w:val="32"/>
          <w:rtl/>
          <w:lang w:val="en-US" w:bidi="ar-DZ"/>
        </w:rPr>
        <w:t xml:space="preserve"> </w:t>
      </w:r>
    </w:p>
    <w:p w:rsidR="00A653F8" w:rsidRPr="000F7A1E" w:rsidRDefault="00A653F8" w:rsidP="00A653F8">
      <w:pPr>
        <w:bidi/>
        <w:jc w:val="lowKashida"/>
        <w:rPr>
          <w:rFonts w:asciiTheme="majorBidi" w:hAnsiTheme="majorBidi" w:cstheme="majorBidi"/>
          <w:b/>
          <w:bCs/>
          <w:sz w:val="32"/>
          <w:szCs w:val="32"/>
          <w:rtl/>
        </w:rPr>
      </w:pPr>
      <w:r w:rsidRPr="000F7A1E">
        <w:rPr>
          <w:rFonts w:asciiTheme="majorBidi" w:hAnsiTheme="majorBidi" w:cstheme="majorBidi"/>
          <w:b/>
          <w:bCs/>
          <w:sz w:val="32"/>
          <w:szCs w:val="32"/>
          <w:rtl/>
        </w:rPr>
        <w:t>اسمه وشيء عنه:</w:t>
      </w:r>
    </w:p>
    <w:p w:rsidR="00A653F8" w:rsidRPr="000F7A1E" w:rsidRDefault="00A653F8" w:rsidP="00A653F8">
      <w:pPr>
        <w:bidi/>
        <w:jc w:val="lowKashida"/>
        <w:rPr>
          <w:rFonts w:asciiTheme="majorBidi" w:hAnsiTheme="majorBidi" w:cstheme="majorBidi"/>
          <w:sz w:val="32"/>
          <w:szCs w:val="32"/>
          <w:rtl/>
        </w:rPr>
      </w:pPr>
      <w:r w:rsidRPr="000F7A1E">
        <w:rPr>
          <w:rFonts w:asciiTheme="majorBidi" w:hAnsiTheme="majorBidi" w:cstheme="majorBidi"/>
          <w:sz w:val="32"/>
          <w:szCs w:val="32"/>
          <w:rtl/>
        </w:rPr>
        <w:t>هو عبد الملك بن محمد بن اسماعيل، أبو منصور الثعالبي النيسابوري، لقب بالثعالبي لأنه كان فرَّاء يخيط جلود الثعالب ويعملها، وإذا عرفنا أنه كان يؤدِّب الصِّبيان في كُتَّاب استطعنا أن نقول جازمين أن عمل الجلود لم يكن صناعة يعيش بها، ويحيا لأجلها،بل كانت من العمال التي يعالجها المؤدِّبون في الكتاتيب وهم يقومون بالتأديب والتعليم،وما أشبه هذا الحال بحال مؤدبي الصِّبيان في مكاتب القرية المصرية في عهد مضى، وقد شدَّ كل منهم خيوط الصوف إلى رقبته والمغزل في يده.</w:t>
      </w:r>
    </w:p>
    <w:p w:rsidR="00A653F8" w:rsidRPr="000F7A1E" w:rsidRDefault="00A653F8" w:rsidP="00A653F8">
      <w:pPr>
        <w:bidi/>
        <w:jc w:val="lowKashida"/>
        <w:rPr>
          <w:rFonts w:asciiTheme="majorBidi" w:hAnsiTheme="majorBidi" w:cstheme="majorBidi"/>
          <w:sz w:val="32"/>
          <w:szCs w:val="32"/>
          <w:rtl/>
        </w:rPr>
      </w:pPr>
      <w:r w:rsidRPr="000F7A1E">
        <w:rPr>
          <w:rFonts w:asciiTheme="majorBidi" w:hAnsiTheme="majorBidi" w:cstheme="majorBidi"/>
          <w:sz w:val="32"/>
          <w:szCs w:val="32"/>
          <w:rtl/>
        </w:rPr>
        <w:t>وعاش الثعالبي بنيسابور، وكان هو ووالد الباخرزي صِنوَين لَصيقَي دار، وقريني جوار، تدور بينهما كتب الإخوانيات، ويتعارضان قصائد المجاوبات. ونشأ الباخرزي في حجر الثعالبي، وتأدب بأدبه، واهتدى بهديه، وكان له أبا ثانيا، يحدوه بعطفه، ويحنو عليه ويرأف به. ذكر تلك الصلة الباخرزي، ونقل عن الثعالبي فيما نقل عنه في كتابه "دمية القصر" أشعارا له رواها أبوه عنه إلا أنه لم يذكر لنا شيئا مما جرى بين الشيخين الصديقين.</w:t>
      </w:r>
    </w:p>
    <w:p w:rsidR="00A653F8" w:rsidRPr="000F7A1E" w:rsidRDefault="00A653F8" w:rsidP="00A653F8">
      <w:pPr>
        <w:bidi/>
        <w:jc w:val="lowKashida"/>
        <w:rPr>
          <w:rFonts w:asciiTheme="majorBidi" w:hAnsiTheme="majorBidi" w:cstheme="majorBidi"/>
          <w:sz w:val="32"/>
          <w:szCs w:val="32"/>
          <w:rtl/>
        </w:rPr>
      </w:pPr>
      <w:r w:rsidRPr="000F7A1E">
        <w:rPr>
          <w:rFonts w:asciiTheme="majorBidi" w:hAnsiTheme="majorBidi" w:cstheme="majorBidi"/>
          <w:sz w:val="32"/>
          <w:szCs w:val="32"/>
          <w:rtl/>
        </w:rPr>
        <w:t>وكان الثعالبي واعية كثير الحفظ، فعرف بحافظ نيسابور، وأوتي حظا من البيان بزَّ فيه أقرانه، فلقب بجاحظ زمانه، وعاش بنيسابور حجَّة فيما يروي، ثقة فيما يحدِّث، مكينا في علمه، ضليعا في فنه، فقصد إليه القاصدون، يضربون إليه آباط الإبل، بعد أن سار ذكره في الآفاق سير المثل.</w:t>
      </w:r>
    </w:p>
    <w:p w:rsidR="00A653F8" w:rsidRPr="000F7A1E" w:rsidRDefault="00A653F8" w:rsidP="00A653F8">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 xml:space="preserve">يحدّد الثعالبي مصادر مادّة "فقه اللغة وأسرار العربية" كما يقول في مقدّمة معجمه من عدد كبير من اللغويين والنحاة أمثال: الخليل بن أحمد (ت175هـ)، والكسائي (ت189هـ)، والنضر بن شميل (ت203هـ)، وأبي عمرو الشيباني (ت206هـ)، والفراء (ت207هـ)، وأبي عبيدة (ت210هـ)، وأبي زيد (ت215هـ)، </w:t>
      </w:r>
      <w:r w:rsidRPr="000F7A1E">
        <w:rPr>
          <w:rFonts w:asciiTheme="majorBidi" w:hAnsiTheme="majorBidi" w:cstheme="majorBidi"/>
          <w:sz w:val="32"/>
          <w:szCs w:val="32"/>
          <w:rtl/>
        </w:rPr>
        <w:lastRenderedPageBreak/>
        <w:t>والأصمعي (ت216هـ)، وأبي عبيد (ت222هـ)، وابن الأعرابي (ت232هـ)، وأبي العباس المبرّد (ت 285هـ)، وابن دريد (ت321هـ)، ونفطويه (ت323هـ)، وابن خالويه (ت370هـ)، والأزهري (ت370هـ)، والخوارزمي (ت387هـ)، وغيرهم كثير، ومن ظرفاء الأدباء الذين جمعوا فصاحة العرب البلغاء.</w:t>
      </w:r>
    </w:p>
    <w:p w:rsidR="00A653F8" w:rsidRPr="000F7A1E" w:rsidRDefault="00A653F8" w:rsidP="00A653F8">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ويشمل ثلاثين باباً، كل منها مقسّمة على فصول، بلغت ستمائة فصل، يقول الثعالبي في هذا الصدد ما نصّه: "فبلغنا بها الأبواب الثلاثين على مهل وروية، وضمّنتها من الفضول ما يناهز ستمائة"(</w:t>
      </w:r>
      <w:r w:rsidRPr="000F7A1E">
        <w:rPr>
          <w:rStyle w:val="Appelnotedebasdep"/>
          <w:rFonts w:asciiTheme="majorBidi" w:hAnsiTheme="majorBidi" w:cstheme="majorBidi"/>
          <w:sz w:val="32"/>
          <w:szCs w:val="32"/>
          <w:rtl/>
        </w:rPr>
        <w:footnoteReference w:id="2"/>
      </w:r>
      <w:r w:rsidRPr="000F7A1E">
        <w:rPr>
          <w:rFonts w:asciiTheme="majorBidi" w:hAnsiTheme="majorBidi" w:cstheme="majorBidi"/>
          <w:sz w:val="32"/>
          <w:szCs w:val="32"/>
          <w:rtl/>
        </w:rPr>
        <w:t>)، ويجمع فيه "نكتا من أقاويل أئمة الأدب وأسرار اللغة وجوامعها ولطائفها وخصائصها"(</w:t>
      </w:r>
      <w:r w:rsidRPr="000F7A1E">
        <w:rPr>
          <w:rStyle w:val="Appelnotedebasdep"/>
          <w:rFonts w:asciiTheme="majorBidi" w:hAnsiTheme="majorBidi" w:cstheme="majorBidi"/>
          <w:sz w:val="32"/>
          <w:szCs w:val="32"/>
          <w:rtl/>
        </w:rPr>
        <w:footnoteReference w:id="3"/>
      </w:r>
      <w:r w:rsidRPr="000F7A1E">
        <w:rPr>
          <w:rFonts w:asciiTheme="majorBidi" w:hAnsiTheme="majorBidi" w:cstheme="majorBidi"/>
          <w:sz w:val="32"/>
          <w:szCs w:val="32"/>
          <w:rtl/>
        </w:rPr>
        <w:t>).</w:t>
      </w:r>
    </w:p>
    <w:p w:rsidR="00A653F8" w:rsidRPr="000F7A1E" w:rsidRDefault="00A653F8" w:rsidP="00A653F8">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وينطلق في معجمه من تحديد الإطار العام (أو الأبواب) ثمّ يقسمه إلى مجموعة من الحقول الدلالية ومن الأمثلة التوضيحية: "الباب السابع في اليبس واللين".</w:t>
      </w:r>
    </w:p>
    <w:p w:rsidR="00A653F8" w:rsidRPr="000F7A1E" w:rsidRDefault="00A653F8" w:rsidP="00A653F8">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1- فصل في تقسيم الأسماء والأوصاف الواقعة على الأشياء اليابسة.</w:t>
      </w:r>
    </w:p>
    <w:p w:rsidR="00A653F8" w:rsidRPr="000F7A1E" w:rsidRDefault="00A653F8" w:rsidP="00A653F8">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2- فصل في تفصيل أشياء رطبة.</w:t>
      </w:r>
    </w:p>
    <w:p w:rsidR="00A653F8" w:rsidRPr="000F7A1E" w:rsidRDefault="00A653F8" w:rsidP="00A653F8">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3- فصل في تفصيل الأسماء والصفات الواقعة على الأشياء اللّينة.</w:t>
      </w:r>
    </w:p>
    <w:p w:rsidR="00A653F8" w:rsidRPr="000F7A1E" w:rsidRDefault="00A653F8" w:rsidP="00A653F8">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4- فصل في تقسيم اللّين على ما يوصف به(</w:t>
      </w:r>
      <w:r w:rsidRPr="000F7A1E">
        <w:rPr>
          <w:rStyle w:val="Appelnotedebasdep"/>
          <w:rFonts w:asciiTheme="majorBidi" w:hAnsiTheme="majorBidi" w:cstheme="majorBidi"/>
          <w:sz w:val="32"/>
          <w:szCs w:val="32"/>
          <w:rtl/>
        </w:rPr>
        <w:footnoteReference w:id="4"/>
      </w:r>
      <w:r w:rsidRPr="000F7A1E">
        <w:rPr>
          <w:rFonts w:asciiTheme="majorBidi" w:hAnsiTheme="majorBidi" w:cstheme="majorBidi"/>
          <w:sz w:val="32"/>
          <w:szCs w:val="32"/>
          <w:rtl/>
        </w:rPr>
        <w:t>).</w:t>
      </w:r>
    </w:p>
    <w:p w:rsidR="00A653F8" w:rsidRPr="000F7A1E" w:rsidRDefault="00A653F8" w:rsidP="00A653F8">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وتتجلّى روح التجديد في البحث اللغوي عند الثعالبي من خلال اجتهاده في تبويب المادة وتصنيفها على الرغم من التعميم الملاحظ في الجمع(</w:t>
      </w:r>
      <w:r w:rsidRPr="000F7A1E">
        <w:rPr>
          <w:rStyle w:val="Appelnotedebasdep"/>
          <w:rFonts w:asciiTheme="majorBidi" w:hAnsiTheme="majorBidi" w:cstheme="majorBidi"/>
          <w:sz w:val="32"/>
          <w:szCs w:val="32"/>
          <w:rtl/>
        </w:rPr>
        <w:footnoteReference w:id="5"/>
      </w:r>
      <w:r w:rsidRPr="000F7A1E">
        <w:rPr>
          <w:rFonts w:asciiTheme="majorBidi" w:hAnsiTheme="majorBidi" w:cstheme="majorBidi"/>
          <w:sz w:val="32"/>
          <w:szCs w:val="32"/>
          <w:rtl/>
        </w:rPr>
        <w:t>)، فهو يجمع الاستخدام الدقيق للألفاظ في ترتيب خاص لاشتراكها في باب واحد، نحو:</w:t>
      </w:r>
    </w:p>
    <w:p w:rsidR="00A653F8" w:rsidRPr="000F7A1E" w:rsidRDefault="00A653F8" w:rsidP="00A653F8">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فصل في تقسيم اللّين على ما يوصف به، وهو فصل من المحور أو الحقل العام الخاص باليبس واللّين فيقول:</w:t>
      </w:r>
    </w:p>
    <w:p w:rsidR="00A653F8" w:rsidRPr="000F7A1E" w:rsidRDefault="00A653F8" w:rsidP="00A653F8">
      <w:pPr>
        <w:bidi/>
        <w:spacing w:before="60" w:line="192" w:lineRule="auto"/>
        <w:ind w:firstLine="425"/>
        <w:jc w:val="lowKashida"/>
        <w:rPr>
          <w:rFonts w:asciiTheme="majorBidi" w:hAnsiTheme="majorBidi" w:cstheme="majorBidi"/>
          <w:sz w:val="32"/>
          <w:szCs w:val="32"/>
          <w:rtl/>
        </w:rPr>
      </w:pPr>
      <w:r w:rsidRPr="000F7A1E">
        <w:rPr>
          <w:rFonts w:asciiTheme="majorBidi" w:hAnsiTheme="majorBidi" w:cstheme="majorBidi"/>
          <w:sz w:val="32"/>
          <w:szCs w:val="32"/>
          <w:rtl/>
        </w:rPr>
        <w:t>"ثوب ليّن، ريح رخاء، رمح لدن، لحم رخص، بنان طفل، شعر سخام، غصن أملود، فراش وثير، أرض دمثة، بدن ناعم، امرأة لميس، إذا كانت ليّنة الملمس، فرس خوّار العنان إذا كان ليّن المعطف"(</w:t>
      </w:r>
      <w:r w:rsidRPr="000F7A1E">
        <w:rPr>
          <w:rStyle w:val="Appelnotedebasdep"/>
          <w:rFonts w:asciiTheme="majorBidi" w:hAnsiTheme="majorBidi" w:cstheme="majorBidi"/>
          <w:sz w:val="32"/>
          <w:szCs w:val="32"/>
          <w:rtl/>
        </w:rPr>
        <w:footnoteReference w:id="6"/>
      </w:r>
      <w:r w:rsidRPr="000F7A1E">
        <w:rPr>
          <w:rFonts w:asciiTheme="majorBidi" w:hAnsiTheme="majorBidi" w:cstheme="majorBidi"/>
          <w:sz w:val="32"/>
          <w:szCs w:val="32"/>
          <w:rtl/>
        </w:rPr>
        <w:t>).</w:t>
      </w:r>
    </w:p>
    <w:p w:rsidR="00A653F8" w:rsidRPr="000F7A1E" w:rsidRDefault="00A653F8" w:rsidP="00A653F8">
      <w:pPr>
        <w:bidi/>
        <w:jc w:val="lowKashida"/>
        <w:rPr>
          <w:rFonts w:asciiTheme="majorBidi" w:hAnsiTheme="majorBidi" w:cstheme="majorBidi"/>
          <w:sz w:val="32"/>
          <w:szCs w:val="32"/>
          <w:rtl/>
        </w:rPr>
      </w:pPr>
      <w:r w:rsidRPr="000F7A1E">
        <w:rPr>
          <w:rFonts w:asciiTheme="majorBidi" w:hAnsiTheme="majorBidi" w:cstheme="majorBidi"/>
          <w:sz w:val="32"/>
          <w:szCs w:val="32"/>
          <w:rtl/>
        </w:rPr>
        <w:t>وتناول كتاب الثعالبي في قسمه الأوّل "فقه اللغة"، ثمّ شفعه بـ "أسرار العربية" في قسمه الثاني(</w:t>
      </w:r>
      <w:r w:rsidRPr="000F7A1E">
        <w:rPr>
          <w:rStyle w:val="Appelnotedebasdep"/>
          <w:rFonts w:asciiTheme="majorBidi" w:hAnsiTheme="majorBidi" w:cstheme="majorBidi"/>
          <w:sz w:val="32"/>
          <w:szCs w:val="32"/>
          <w:rtl/>
        </w:rPr>
        <w:footnoteReference w:id="7"/>
      </w:r>
      <w:r w:rsidRPr="000F7A1E">
        <w:rPr>
          <w:rFonts w:asciiTheme="majorBidi" w:hAnsiTheme="majorBidi" w:cstheme="majorBidi"/>
          <w:sz w:val="32"/>
          <w:szCs w:val="32"/>
          <w:rtl/>
        </w:rPr>
        <w:t>).</w:t>
      </w:r>
    </w:p>
    <w:p w:rsidR="00A653F8" w:rsidRPr="000F7A1E" w:rsidRDefault="00A653F8" w:rsidP="00A653F8">
      <w:pPr>
        <w:bidi/>
        <w:jc w:val="lowKashida"/>
        <w:rPr>
          <w:rFonts w:asciiTheme="majorBidi" w:hAnsiTheme="majorBidi" w:cstheme="majorBidi"/>
          <w:sz w:val="32"/>
          <w:szCs w:val="32"/>
          <w:rtl/>
        </w:rPr>
      </w:pPr>
    </w:p>
    <w:p w:rsidR="00A653F8" w:rsidRPr="000F7A1E" w:rsidRDefault="00A653F8" w:rsidP="00A653F8">
      <w:pPr>
        <w:bidi/>
        <w:jc w:val="lowKashida"/>
        <w:rPr>
          <w:rFonts w:asciiTheme="majorBidi" w:hAnsiTheme="majorBidi" w:cstheme="majorBidi"/>
          <w:sz w:val="32"/>
          <w:szCs w:val="32"/>
          <w:rtl/>
        </w:rPr>
      </w:pPr>
    </w:p>
    <w:p w:rsidR="00A653F8" w:rsidRPr="000F7A1E" w:rsidRDefault="00A653F8" w:rsidP="00A653F8">
      <w:pPr>
        <w:bidi/>
        <w:jc w:val="lowKashida"/>
        <w:rPr>
          <w:rFonts w:asciiTheme="majorBidi" w:hAnsiTheme="majorBidi" w:cstheme="majorBidi"/>
          <w:sz w:val="32"/>
          <w:szCs w:val="32"/>
          <w:rtl/>
        </w:rPr>
      </w:pPr>
    </w:p>
    <w:p w:rsidR="00C61954" w:rsidRDefault="00C61954" w:rsidP="00A653F8">
      <w:pPr>
        <w:bidi/>
      </w:pPr>
    </w:p>
    <w:sectPr w:rsidR="00C61954" w:rsidSect="00C6195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35A" w:rsidRDefault="00CA335A" w:rsidP="00A653F8">
      <w:pPr>
        <w:spacing w:after="0" w:line="240" w:lineRule="auto"/>
      </w:pPr>
      <w:r>
        <w:separator/>
      </w:r>
    </w:p>
  </w:endnote>
  <w:endnote w:type="continuationSeparator" w:id="1">
    <w:p w:rsidR="00CA335A" w:rsidRDefault="00CA335A" w:rsidP="00A65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35A" w:rsidRDefault="00CA335A" w:rsidP="00A653F8">
      <w:pPr>
        <w:spacing w:after="0" w:line="240" w:lineRule="auto"/>
      </w:pPr>
      <w:r>
        <w:separator/>
      </w:r>
    </w:p>
  </w:footnote>
  <w:footnote w:type="continuationSeparator" w:id="1">
    <w:p w:rsidR="00CA335A" w:rsidRDefault="00CA335A" w:rsidP="00A653F8">
      <w:pPr>
        <w:spacing w:after="0" w:line="240" w:lineRule="auto"/>
      </w:pPr>
      <w:r>
        <w:continuationSeparator/>
      </w:r>
    </w:p>
  </w:footnote>
  <w:footnote w:id="2">
    <w:p w:rsidR="00A653F8" w:rsidRPr="000F7A1E" w:rsidRDefault="00A653F8" w:rsidP="00A653F8">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lang w:bidi="ar-DZ"/>
        </w:rPr>
        <w:t>-</w:t>
      </w:r>
      <w:r w:rsidRPr="000F7A1E">
        <w:rPr>
          <w:rFonts w:asciiTheme="majorBidi" w:hAnsiTheme="majorBidi" w:cstheme="majorBidi"/>
          <w:i/>
          <w:iCs/>
          <w:sz w:val="28"/>
          <w:szCs w:val="28"/>
          <w:rtl/>
        </w:rPr>
        <w:t xml:space="preserve"> الثعالبي، فقه اللغة وأسرار العربية، ص:11.</w:t>
      </w:r>
    </w:p>
  </w:footnote>
  <w:footnote w:id="3">
    <w:p w:rsidR="00A653F8" w:rsidRPr="000F7A1E" w:rsidRDefault="00A653F8" w:rsidP="00A653F8">
      <w:pPr>
        <w:pStyle w:val="Notedebasdepage"/>
        <w:bidi/>
        <w:rPr>
          <w:rFonts w:asciiTheme="majorBidi" w:hAnsiTheme="majorBidi" w:cstheme="majorBidi"/>
          <w:sz w:val="28"/>
          <w:szCs w:val="28"/>
          <w:rtl/>
          <w:lang w:bidi="ar-DZ"/>
        </w:rPr>
      </w:pPr>
      <w:r w:rsidRPr="000F7A1E">
        <w:rPr>
          <w:rFonts w:asciiTheme="majorBidi" w:hAnsiTheme="majorBidi" w:cstheme="majorBidi"/>
          <w:sz w:val="28"/>
          <w:szCs w:val="28"/>
          <w:rtl/>
        </w:rPr>
        <w:t xml:space="preserve"> </w:t>
      </w: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i/>
          <w:iCs/>
          <w:sz w:val="28"/>
          <w:szCs w:val="28"/>
          <w:rtl/>
        </w:rPr>
        <w:t>د.بلعيد صالح، مصادر اللغة، ص:101.</w:t>
      </w:r>
    </w:p>
  </w:footnote>
  <w:footnote w:id="4">
    <w:p w:rsidR="00A653F8" w:rsidRPr="000F7A1E" w:rsidRDefault="00A653F8" w:rsidP="00A653F8">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lang w:bidi="ar-DZ"/>
        </w:rPr>
        <w:t>-</w:t>
      </w:r>
      <w:r w:rsidRPr="000F7A1E">
        <w:rPr>
          <w:rFonts w:asciiTheme="majorBidi" w:hAnsiTheme="majorBidi" w:cstheme="majorBidi"/>
          <w:i/>
          <w:iCs/>
          <w:sz w:val="28"/>
          <w:szCs w:val="28"/>
          <w:rtl/>
        </w:rPr>
        <w:t xml:space="preserve"> الثعالبي، فقه اللغة، ص:31.</w:t>
      </w:r>
    </w:p>
  </w:footnote>
  <w:footnote w:id="5">
    <w:p w:rsidR="00A653F8" w:rsidRPr="000F7A1E" w:rsidRDefault="00A653F8" w:rsidP="00A653F8">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rPr>
        <w:t>-</w:t>
      </w:r>
      <w:r w:rsidRPr="000F7A1E">
        <w:rPr>
          <w:rFonts w:asciiTheme="majorBidi" w:hAnsiTheme="majorBidi" w:cstheme="majorBidi"/>
          <w:i/>
          <w:iCs/>
          <w:sz w:val="28"/>
          <w:szCs w:val="28"/>
          <w:rtl/>
        </w:rPr>
        <w:t xml:space="preserve"> ينظر د.بلعيد صالح، مصادر اللغة، ص:104.</w:t>
      </w:r>
    </w:p>
  </w:footnote>
  <w:footnote w:id="6">
    <w:p w:rsidR="00A653F8" w:rsidRPr="000F7A1E" w:rsidRDefault="00A653F8" w:rsidP="00A653F8">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lang w:bidi="ar-DZ"/>
        </w:rPr>
        <w:t>-</w:t>
      </w:r>
      <w:r w:rsidRPr="000F7A1E">
        <w:rPr>
          <w:rFonts w:asciiTheme="majorBidi" w:hAnsiTheme="majorBidi" w:cstheme="majorBidi"/>
          <w:i/>
          <w:iCs/>
          <w:sz w:val="28"/>
          <w:szCs w:val="28"/>
          <w:rtl/>
        </w:rPr>
        <w:t xml:space="preserve"> الثعالبي، فقه اللغة، ص:31- 32.</w:t>
      </w:r>
    </w:p>
  </w:footnote>
  <w:footnote w:id="7">
    <w:p w:rsidR="00A653F8" w:rsidRPr="000F7A1E" w:rsidRDefault="00A653F8" w:rsidP="00A653F8">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lang w:bidi="ar-DZ"/>
        </w:rPr>
        <w:t>-</w:t>
      </w:r>
      <w:r w:rsidRPr="000F7A1E">
        <w:rPr>
          <w:rFonts w:asciiTheme="majorBidi" w:hAnsiTheme="majorBidi" w:cstheme="majorBidi"/>
          <w:i/>
          <w:iCs/>
          <w:sz w:val="28"/>
          <w:szCs w:val="28"/>
          <w:rtl/>
        </w:rPr>
        <w:t xml:space="preserve"> نشره رشيد الدحداح في باريس لأوّل مرّة في 1885، ثمّ أعيد طبعه في عام 1930.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761F"/>
    <w:multiLevelType w:val="hybridMultilevel"/>
    <w:tmpl w:val="CE14587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2A31F40"/>
    <w:multiLevelType w:val="hybridMultilevel"/>
    <w:tmpl w:val="74404F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1C3D7E"/>
    <w:multiLevelType w:val="hybridMultilevel"/>
    <w:tmpl w:val="B19E9E6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3421F1A"/>
    <w:multiLevelType w:val="hybridMultilevel"/>
    <w:tmpl w:val="22928846"/>
    <w:lvl w:ilvl="0" w:tplc="49B0527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A653F8"/>
    <w:rsid w:val="00181CA9"/>
    <w:rsid w:val="00264E3B"/>
    <w:rsid w:val="00453389"/>
    <w:rsid w:val="00690D7E"/>
    <w:rsid w:val="008A2F9D"/>
    <w:rsid w:val="009132DE"/>
    <w:rsid w:val="00951931"/>
    <w:rsid w:val="00A212F8"/>
    <w:rsid w:val="00A653F8"/>
    <w:rsid w:val="00C61954"/>
    <w:rsid w:val="00CA33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3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653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3F8"/>
    <w:rPr>
      <w:sz w:val="20"/>
      <w:szCs w:val="20"/>
    </w:rPr>
  </w:style>
  <w:style w:type="character" w:styleId="Appelnotedebasdep">
    <w:name w:val="footnote reference"/>
    <w:basedOn w:val="Policepardfaut"/>
    <w:uiPriority w:val="99"/>
    <w:semiHidden/>
    <w:unhideWhenUsed/>
    <w:rsid w:val="00A653F8"/>
    <w:rPr>
      <w:vertAlign w:val="superscript"/>
    </w:rPr>
  </w:style>
  <w:style w:type="paragraph" w:styleId="Paragraphedeliste">
    <w:name w:val="List Paragraph"/>
    <w:basedOn w:val="Normal"/>
    <w:uiPriority w:val="34"/>
    <w:qFormat/>
    <w:rsid w:val="00690D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484</Words>
  <Characters>2665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2020-04-12T18:17:00Z</dcterms:created>
  <dcterms:modified xsi:type="dcterms:W3CDTF">2020-04-12T20:40:00Z</dcterms:modified>
</cp:coreProperties>
</file>