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3B" w:rsidRPr="0013149E" w:rsidRDefault="00BD653B" w:rsidP="00C02FFC">
      <w:pPr>
        <w:bidi/>
        <w:spacing w:after="0" w:line="240" w:lineRule="auto"/>
        <w:jc w:val="center"/>
        <w:rPr>
          <w:rFonts w:cs="Traditional Arabic"/>
          <w:b/>
          <w:bCs/>
          <w:sz w:val="40"/>
          <w:szCs w:val="40"/>
          <w:rtl/>
          <w:lang w:bidi="ar-DZ"/>
        </w:rPr>
      </w:pPr>
      <w:r w:rsidRPr="00476EDA">
        <w:rPr>
          <w:rFonts w:cs="Traditional Arabic" w:hint="cs"/>
          <w:b/>
          <w:bCs/>
          <w:sz w:val="40"/>
          <w:szCs w:val="40"/>
          <w:rtl/>
          <w:lang w:bidi="ar-DZ"/>
        </w:rPr>
        <w:t>المحاضرة</w:t>
      </w:r>
      <w:r w:rsidR="00390A06">
        <w:rPr>
          <w:rFonts w:cs="Traditional Arabic"/>
          <w:b/>
          <w:bCs/>
          <w:sz w:val="40"/>
          <w:szCs w:val="40"/>
          <w:lang w:bidi="ar-DZ"/>
        </w:rPr>
        <w:t xml:space="preserve"> </w:t>
      </w:r>
      <w:r w:rsidR="00390A06">
        <w:rPr>
          <w:rFonts w:cs="Traditional Arabic" w:hint="cs"/>
          <w:b/>
          <w:bCs/>
          <w:sz w:val="40"/>
          <w:szCs w:val="40"/>
          <w:rtl/>
          <w:lang w:bidi="ar-DZ"/>
        </w:rPr>
        <w:t>الثانية</w:t>
      </w:r>
      <w:r w:rsidRPr="00476EDA">
        <w:rPr>
          <w:rFonts w:cs="Traditional Arabic" w:hint="cs"/>
          <w:b/>
          <w:bCs/>
          <w:sz w:val="40"/>
          <w:szCs w:val="40"/>
          <w:rtl/>
          <w:lang w:bidi="ar-DZ"/>
        </w:rPr>
        <w:t>:</w:t>
      </w:r>
    </w:p>
    <w:p w:rsidR="00390A06" w:rsidRPr="007F67A1" w:rsidRDefault="00390A06" w:rsidP="007F67A1">
      <w:pPr>
        <w:bidi/>
        <w:jc w:val="center"/>
        <w:rPr>
          <w:rFonts w:cs="Traditional Arabic"/>
          <w:b/>
          <w:bCs/>
          <w:sz w:val="40"/>
          <w:szCs w:val="40"/>
          <w:rtl/>
          <w:lang w:bidi="ar-DZ"/>
        </w:rPr>
      </w:pPr>
      <w:r w:rsidRPr="00390A06">
        <w:rPr>
          <w:rFonts w:cs="Traditional Arabic" w:hint="cs"/>
          <w:b/>
          <w:bCs/>
          <w:sz w:val="40"/>
          <w:szCs w:val="40"/>
          <w:rtl/>
          <w:lang w:bidi="ar-DZ"/>
        </w:rPr>
        <w:t>سوسيولوجية المدينة</w:t>
      </w:r>
    </w:p>
    <w:p w:rsidR="00390A06" w:rsidRPr="0017366F" w:rsidRDefault="00390A06" w:rsidP="00390A06">
      <w:pPr>
        <w:bidi/>
        <w:jc w:val="both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17366F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 xml:space="preserve">المحور </w:t>
      </w:r>
      <w:r w:rsidR="0017366F" w:rsidRPr="0017366F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الأول</w:t>
      </w:r>
      <w:r w:rsidR="0017366F" w:rsidRPr="0017366F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r w:rsidRPr="0017366F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 xml:space="preserve"> تعريف المدينة</w:t>
      </w:r>
    </w:p>
    <w:p w:rsidR="00390A06" w:rsidRPr="00390A06" w:rsidRDefault="00390A06" w:rsidP="00390A06">
      <w:pPr>
        <w:pStyle w:val="Paragraphedeliste"/>
        <w:numPr>
          <w:ilvl w:val="0"/>
          <w:numId w:val="7"/>
        </w:numPr>
        <w:bidi/>
        <w:jc w:val="both"/>
        <w:rPr>
          <w:rFonts w:asciiTheme="majorBidi" w:hAnsiTheme="majorBidi" w:cs="Traditional Arabic"/>
          <w:b/>
          <w:bCs/>
          <w:sz w:val="36"/>
          <w:szCs w:val="36"/>
          <w:lang w:bidi="ar-DZ"/>
        </w:rPr>
      </w:pPr>
      <w:r w:rsidRPr="00390A06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المدينة كمجتمع محلي: </w:t>
      </w:r>
    </w:p>
    <w:p w:rsidR="00D2097F" w:rsidRDefault="00390A06" w:rsidP="000A6C99">
      <w:pPr>
        <w:bidi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يعرف ماكيفر </w:t>
      </w:r>
      <w:r w:rsidRPr="00326B1E">
        <w:rPr>
          <w:rFonts w:asciiTheme="majorBidi" w:hAnsiTheme="majorBidi" w:cs="Traditional Arabic"/>
          <w:sz w:val="24"/>
          <w:szCs w:val="24"/>
          <w:lang w:bidi="ar-DZ"/>
        </w:rPr>
        <w:t>MACIVER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المجتمع المحلي </w:t>
      </w:r>
      <w:r w:rsidR="00326B1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على أنه "وحدة </w:t>
      </w:r>
      <w:r w:rsidR="004B13AD">
        <w:rPr>
          <w:rFonts w:asciiTheme="majorBidi" w:hAnsiTheme="majorBidi" w:cs="Traditional Arabic" w:hint="cs"/>
          <w:sz w:val="36"/>
          <w:szCs w:val="36"/>
          <w:rtl/>
          <w:lang w:bidi="ar-DZ"/>
        </w:rPr>
        <w:t>اجتماعية</w:t>
      </w:r>
      <w:r w:rsidR="00326B1E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تجمع بين أعضائها مجموعة من المصالح المشتركة و تسود بينهم قيم عامة و شعور بالانتماء بالدرجة التي تمكنهم من المشاركة في الظروف الأساسية لحياة مشتركة".</w:t>
      </w:r>
    </w:p>
    <w:p w:rsidR="00326B1E" w:rsidRDefault="004E111A" w:rsidP="00B847FF">
      <w:pPr>
        <w:bidi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 يضيف روبرت بارك "أن المجتمع المحلي في أوسع معانيه يشير إلى دلالات و ارتباطات مكانية جغرافية و أن </w:t>
      </w:r>
      <w:r w:rsidR="004B13AD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المدن الصغيرة و الكبيرة و القرى بل و العالم بأسره تعتبر كلها رغم ما بينها من اختلافات </w:t>
      </w:r>
      <w:r w:rsidR="00B6271F">
        <w:rPr>
          <w:rFonts w:asciiTheme="majorBidi" w:hAnsiTheme="majorBidi" w:cs="Traditional Arabic" w:hint="cs"/>
          <w:sz w:val="36"/>
          <w:szCs w:val="36"/>
          <w:rtl/>
          <w:lang w:bidi="ar-DZ"/>
        </w:rPr>
        <w:t>في الثقافة و التنظيم و المصالح ......إلخ، مجتمعات محلية في المقام الأول"</w:t>
      </w:r>
      <w:r w:rsidR="00755877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755877" w:rsidRDefault="00755877" w:rsidP="000A6C99">
      <w:pPr>
        <w:bidi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و يروي لو</w:t>
      </w:r>
      <w:r w:rsidR="00F75976">
        <w:rPr>
          <w:rFonts w:asciiTheme="majorBidi" w:hAnsiTheme="majorBidi" w:cs="Traditional Arabic" w:hint="cs"/>
          <w:sz w:val="36"/>
          <w:szCs w:val="36"/>
          <w:rtl/>
          <w:lang w:bidi="ar-DZ"/>
        </w:rPr>
        <w:t>يس ويرث أن "المجتمع المحلي يتميز بما له من أساس مكاني إقليمي يتوزع من خلاله الأفراد</w:t>
      </w:r>
      <w:r w:rsidR="007F67A1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 الجماعات و الأنشطة، و بما يسوده من معيشة مشتركة تقوم على أساس الاعتماد المتبادل بين الأفراد و خاصة في مجال تبادل المصلحة".</w:t>
      </w:r>
    </w:p>
    <w:p w:rsidR="007F67A1" w:rsidRDefault="007F67A1" w:rsidP="000A6C99">
      <w:pPr>
        <w:bidi/>
        <w:jc w:val="both"/>
        <w:rPr>
          <w:rFonts w:asciiTheme="majorBidi" w:hAnsiTheme="majorBidi" w:cs="Traditional Arabic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و من خلال هذه التعاريف المختصرة نلاحظ أن المدينة هي </w:t>
      </w:r>
      <w:r>
        <w:rPr>
          <w:rFonts w:asciiTheme="majorBidi" w:hAnsiTheme="majorBidi" w:cs="Traditional Arabic" w:hint="cs"/>
          <w:b/>
          <w:bCs/>
          <w:sz w:val="36"/>
          <w:szCs w:val="36"/>
          <w:u w:val="single"/>
          <w:rtl/>
          <w:lang w:bidi="ar-DZ"/>
        </w:rPr>
        <w:t>مجتمع محلي حضري.</w:t>
      </w:r>
    </w:p>
    <w:p w:rsidR="007F67A1" w:rsidRDefault="007F67A1" w:rsidP="007F67A1">
      <w:pPr>
        <w:pStyle w:val="Paragraphedeliste"/>
        <w:numPr>
          <w:ilvl w:val="0"/>
          <w:numId w:val="7"/>
        </w:numPr>
        <w:bidi/>
        <w:rPr>
          <w:rFonts w:asciiTheme="majorBidi" w:hAnsiTheme="majorBidi" w:cs="Traditional Arabic"/>
          <w:b/>
          <w:bCs/>
          <w:sz w:val="36"/>
          <w:szCs w:val="36"/>
          <w:lang w:bidi="ar-DZ"/>
        </w:rPr>
      </w:pPr>
      <w:r w:rsidRPr="007F67A1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المدينة كظاهرة اجتماعية:</w:t>
      </w:r>
    </w:p>
    <w:p w:rsidR="000A6C99" w:rsidRDefault="0097284A" w:rsidP="000A6C99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97284A">
        <w:rPr>
          <w:rFonts w:ascii="Traditional Arabic" w:hAnsi="Traditional Arabic" w:cs="Traditional Arabic"/>
          <w:sz w:val="36"/>
          <w:szCs w:val="36"/>
          <w:rtl/>
          <w:lang w:bidi="ar-DZ"/>
        </w:rPr>
        <w:t>يرى مصطفى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0A6C9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الخشاب أن المدينة من الناحية السوسيولوجية البحتة عبارة عن فكرة مجردة، لكن العناصر التي تتكون منها من الإقامة، البنايات، و وسائل المواصلات. عبارة عن موجودات لها طابع مختلف  مما يحعل المدينة شيئا محددا متكامل الوظائف (التكامل الوظيفي بين مختلف عناصره).</w:t>
      </w:r>
    </w:p>
    <w:p w:rsidR="00A03303" w:rsidRDefault="005D3DD9" w:rsidP="00A03303">
      <w:pPr>
        <w:tabs>
          <w:tab w:val="right" w:pos="9072"/>
        </w:tabs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في نفس السياق يرى أحمد كمال و كرم حبيب أن "المدينة كظاهرة اجتماعية، يعمل أغلب سكانها في مهن غير زراعية تنعكس آثارها في شؤون حياتهم، فتتنوع مهنهم و تتعدد مراكزهم الاجتماعية</w:t>
      </w:r>
      <w:r w:rsidR="000A6C9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A0330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الاقتصادية و تتباين تبعا لذلك علاقاتهم و أنظمتهم و أنماط اتصالاتهم ووسائل معيشتهم".</w:t>
      </w:r>
      <w:r w:rsidR="0097284A" w:rsidRPr="009728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0A6C99"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</w:p>
    <w:p w:rsidR="00394A20" w:rsidRDefault="003714F0" w:rsidP="00A03303">
      <w:p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يعرفها السيد عبد العاطي السيد علي "أن المدينة كنظام اجتماعي هي حالة ديناميكية و في حركية مستمرة، فالعلاقات بين عناصرها و مكوناتها و علاقتها </w:t>
      </w:r>
      <w:r w:rsidR="00394A2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بالأنظمة الأشمل، هي على نحو دائم عرضة للتغير" (أي في تحول مستمر).</w:t>
      </w:r>
    </w:p>
    <w:p w:rsidR="00671C2E" w:rsidRDefault="00461583" w:rsidP="00671C2E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فمن خلال ما سبق يبدوا لنا جليا </w:t>
      </w:r>
      <w:r w:rsidR="0017366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المدينة كظاهرة اجتماعية ترجع إلى طبيعة ارتباط المدينة بالتنظيم الاجتماعي الوظيفي المتعدد (أنماط معيشية + توزيع الأفراد</w:t>
      </w:r>
      <w:r w:rsidR="00F23C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نشاطاتهم الحياتية على </w:t>
      </w:r>
      <w:r w:rsidR="00671C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امتداد</w:t>
      </w:r>
      <w:r w:rsidR="00F23C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المكان الذي يشغلونه)و كذلك </w:t>
      </w:r>
      <w:r w:rsidR="00671C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لعناصرها الاجتماعية لأنها حقيقتا هي امتداد للحياة الاجتماعية في مختلف مظاهرها (الديمغرافية،  الجغرافية، الاقتصادية، السياسية).</w:t>
      </w:r>
    </w:p>
    <w:p w:rsidR="00671C2E" w:rsidRDefault="00671C2E" w:rsidP="00671C2E">
      <w:pPr>
        <w:pStyle w:val="Paragraphedeliste"/>
        <w:numPr>
          <w:ilvl w:val="0"/>
          <w:numId w:val="7"/>
        </w:numPr>
        <w:bidi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671C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المدينة كنمط حياة: </w:t>
      </w:r>
    </w:p>
    <w:p w:rsidR="00260AAE" w:rsidRDefault="00671C2E" w:rsidP="00557BC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671C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إن</w:t>
      </w:r>
      <w:r w:rsidRPr="00671C2E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النظر </w:t>
      </w:r>
      <w:r w:rsidR="00B5313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إلى المدينة بوصفها كيانا اجتماعيا له أنماط حياتية خاصة به، لم يتأتى إلا مؤخرا و يعد لويس ويرث من أهم الباحثين </w:t>
      </w:r>
      <w:r w:rsidR="009C373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الذين تطرقوا للمدينة بصفتها كيانا اجتماعيا حيث يقول هذا الباحث "التحضر ما هو إلا أسلوب حياة"، حيث كان يحاول توجيه أنظار الباحثين إلى أهمية البعد الاجتماعي باعتباره </w:t>
      </w:r>
      <w:r w:rsidR="00260AA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 المقومات المهمة للحياة الحضرية.</w:t>
      </w:r>
    </w:p>
    <w:p w:rsidR="00557BC3" w:rsidRDefault="008F4660" w:rsidP="00557BC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يرى فيبر</w:t>
      </w:r>
      <w:r w:rsidR="00B5313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447DB1" w:rsidRPr="00447DB1">
        <w:rPr>
          <w:rFonts w:ascii="Traditional Arabic" w:hAnsi="Traditional Arabic" w:cs="Traditional Arabic"/>
          <w:sz w:val="28"/>
          <w:szCs w:val="28"/>
          <w:lang w:bidi="ar-DZ"/>
        </w:rPr>
        <w:t>WEBER</w:t>
      </w:r>
      <w:r w:rsidR="00447D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60219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أن المدينة هي مكان إقامة يعيش السكان فيها، أساسا على التبادل و التجارة، أكثر مما يعيشون على الزراعة و يرى أن السوق المحلية </w:t>
      </w:r>
      <w:r w:rsidR="00557BC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تشكل جزءا أساسيا من حياة الناس اليومية.</w:t>
      </w:r>
    </w:p>
    <w:p w:rsidR="00557BC3" w:rsidRDefault="00557BC3" w:rsidP="00557BC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7366F" w:rsidRDefault="0017366F" w:rsidP="0017366F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7366F" w:rsidRPr="0017366F" w:rsidRDefault="0017366F" w:rsidP="0017366F">
      <w:pPr>
        <w:bidi/>
        <w:jc w:val="both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17366F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lastRenderedPageBreak/>
        <w:t>المحور الثاني</w:t>
      </w:r>
      <w:r w:rsidRPr="0017366F">
        <w:rPr>
          <w:rFonts w:cs="Traditional Arabic" w:hint="cs"/>
          <w:sz w:val="36"/>
          <w:szCs w:val="36"/>
          <w:rtl/>
          <w:lang w:bidi="ar-DZ"/>
        </w:rPr>
        <w:t>:</w:t>
      </w:r>
      <w:r w:rsidRPr="0017366F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الحضرية </w:t>
      </w:r>
    </w:p>
    <w:p w:rsidR="00651797" w:rsidRDefault="00E7147E" w:rsidP="00E7147E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يمكن تعريف الحضرية على أنها مفهوم يشير إلى طريقة الحياة المميزة لأهل المدن، الذين يتبعون أسلوبا أو نمطا معينا في حياتهم و هو أمر يتعلق </w:t>
      </w:r>
      <w:r w:rsidR="00AB5B6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بالسلوك اليومي فالناس يتكيفون </w:t>
      </w:r>
      <w:r w:rsidR="00A9402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نفسيا مع متطلبات المدينة و أحد مظاهر هذا التكيف هو الذي جعل سلوكهم مطابقا </w:t>
      </w:r>
      <w:r w:rsidR="0065179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لسلوك رفقائهم من الحضريين.</w:t>
      </w:r>
    </w:p>
    <w:p w:rsidR="0036581E" w:rsidRDefault="00651797" w:rsidP="00651797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يعرفها كاستال </w:t>
      </w:r>
      <w:r w:rsidRPr="00651797">
        <w:rPr>
          <w:rFonts w:ascii="Traditional Arabic" w:hAnsi="Traditional Arabic" w:cs="Traditional Arabic"/>
          <w:sz w:val="28"/>
          <w:szCs w:val="28"/>
          <w:lang w:bidi="ar-DZ"/>
        </w:rPr>
        <w:t>CASTELL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A9402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36581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 بأنها نمط العيش و طريقة في الحياة و السلوك و نسق من المواقف و القيم و المعايير و السلوكيات و نظم من التفكير و طرق من الممارسات".</w:t>
      </w:r>
    </w:p>
    <w:p w:rsidR="0027042F" w:rsidRPr="0027042F" w:rsidRDefault="0027042F" w:rsidP="0027042F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فالحضرية هي نمط من أنماط السلوك و الممارسات اليومية في المدينة، تخضع لضوابط اجتماعية و إقتصادية.</w:t>
      </w:r>
    </w:p>
    <w:p w:rsidR="0017366F" w:rsidRPr="00AF7EE0" w:rsidRDefault="00AF7EE0" w:rsidP="00AF7EE0">
      <w:pPr>
        <w:pStyle w:val="Paragraphedeliste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AF7EE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سمات و خصائص الحضرية: </w:t>
      </w:r>
    </w:p>
    <w:p w:rsidR="007F67A1" w:rsidRDefault="00DC2B81" w:rsidP="00F129B9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تساهم الحضرية </w:t>
      </w:r>
      <w:r w:rsidR="0027042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في ارتفاع معدلات </w:t>
      </w:r>
      <w:r w:rsidR="00F129B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الحراك الاجتماعي و الإقامي (المكاني).</w:t>
      </w:r>
    </w:p>
    <w:p w:rsidR="00FD0C5C" w:rsidRDefault="0026051B" w:rsidP="00F129B9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الاعتماد و التساند الوظيفي المتبادل بين الأفراد</w:t>
      </w:r>
      <w:r w:rsidR="00FD0C5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F129B9" w:rsidRDefault="0026051B" w:rsidP="00FD0C5C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FD0C5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الحضرية تتناسب طردا مع عدد السكان.</w:t>
      </w:r>
    </w:p>
    <w:p w:rsidR="003956D2" w:rsidRDefault="00FD0C5C" w:rsidP="003956D2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ترتبط الحضرية بالحياة الاجتماعية، الصناعية و التكنولوجية التي </w:t>
      </w:r>
      <w:r w:rsidR="003956D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تساعد في خلق مدن نوعية (تأخذ أشكال أكثر حداثة).</w:t>
      </w:r>
    </w:p>
    <w:p w:rsidR="003956D2" w:rsidRDefault="003956D2" w:rsidP="003956D2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تتميز الحضرية بمرونة الحركة و اتساع شبكة التنقلات و ظهور مختلف وسائل النقل و المواصلات.</w:t>
      </w:r>
    </w:p>
    <w:p w:rsidR="00FD0C5C" w:rsidRDefault="00BC3EC6" w:rsidP="003956D2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ترتبط الحضرية بتنوع الوظائف و المهن و الأنشطة </w:t>
      </w:r>
      <w:r w:rsidR="003C0FC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لاسيما التجارية و الصناعية و بالتالي تزيد من الطبقية داخل المجتمع و تساهم بشكل مباشر في التنوع الوظيفي و الهيراركية الاجتماعية.</w:t>
      </w:r>
      <w:r w:rsidR="003956D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FD0C5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3C0FC7" w:rsidRPr="00DC2B81" w:rsidRDefault="003C0FC7" w:rsidP="003C0FC7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ترتبط الحضرية بتنوع الخدمات (التعليم، الصحة....إلخ.</w:t>
      </w:r>
    </w:p>
    <w:sectPr w:rsidR="003C0FC7" w:rsidRPr="00DC2B81" w:rsidSect="00716F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D1D" w:rsidRDefault="00584D1D" w:rsidP="00A202AB">
      <w:pPr>
        <w:spacing w:after="0" w:line="240" w:lineRule="auto"/>
      </w:pPr>
      <w:r>
        <w:separator/>
      </w:r>
    </w:p>
  </w:endnote>
  <w:endnote w:type="continuationSeparator" w:id="1">
    <w:p w:rsidR="00584D1D" w:rsidRDefault="00584D1D" w:rsidP="00A20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80"/>
      <w:docPartObj>
        <w:docPartGallery w:val="Page Numbers (Bottom of Page)"/>
        <w:docPartUnique/>
      </w:docPartObj>
    </w:sdtPr>
    <w:sdtContent>
      <w:p w:rsidR="00E95B23" w:rsidRDefault="004741E5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E95B23" w:rsidRDefault="004741E5">
                    <w:pPr>
                      <w:jc w:val="center"/>
                    </w:pPr>
                    <w:fldSimple w:instr=" PAGE    \* MERGEFORMAT ">
                      <w:r w:rsidR="00B847FF" w:rsidRPr="00B847FF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D1D" w:rsidRDefault="00584D1D" w:rsidP="00A202AB">
      <w:pPr>
        <w:spacing w:after="0" w:line="240" w:lineRule="auto"/>
      </w:pPr>
      <w:r>
        <w:separator/>
      </w:r>
    </w:p>
  </w:footnote>
  <w:footnote w:type="continuationSeparator" w:id="1">
    <w:p w:rsidR="00584D1D" w:rsidRDefault="00584D1D" w:rsidP="00A20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EAB" w:rsidRDefault="004741E5" w:rsidP="00C02FFC">
    <w:pPr>
      <w:pStyle w:val="En-tte"/>
      <w:jc w:val="center"/>
      <w:rPr>
        <w:color w:val="365F91" w:themeColor="accent1" w:themeShade="BF"/>
      </w:rPr>
    </w:pPr>
    <w:r w:rsidRPr="004741E5">
      <w:rPr>
        <w:noProof/>
        <w:lang w:eastAsia="fr-FR"/>
      </w:rPr>
      <w:pict>
        <v:group id="_x0000_s2051" style="position:absolute;left:0;text-align:left;margin-left:398.1pt;margin-top:-114.55pt;width:155.4pt;height:286.65pt;rotation:90;flip:x y;z-index:251661312;mso-position-horizontal-relative:page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6519;top:1258;width:4303;height:10040;flip:x" o:connectortype="straight" strokecolor="#a7bfde [1620]">
            <o:lock v:ext="edit" aspectratio="t"/>
          </v:shape>
          <v:group id="_x0000_s2053" style="position:absolute;left:5531;top:9226;width:5291;height:5845" coordorigin="5531,9226" coordsize="5291,5845">
            <o:lock v:ext="edit" aspectratio="t"/>
            <v:shape id="_x0000_s2054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55" style="position:absolute;left:6117;top:10212;width:4526;height:4258;rotation:41366637fd;flip:y" fillcolor="#d3dfee [820]" stroked="f" strokecolor="#a7bfde [1620]">
              <o:lock v:ext="edit" aspectratio="t"/>
            </v:oval>
            <v:oval id="_x0000_s2056" style="position:absolute;left:6217;top:10481;width:3424;height:3221;rotation:41366637fd;flip:y;v-text-anchor:middle" fillcolor="#7ba0cd [2420]" stroked="f" strokecolor="#a7bfde [1620]">
              <o:lock v:ext="edit" aspectratio="t"/>
              <v:textbox style="mso-next-textbox:#_x0000_s2056" inset="0,0,0,0">
                <w:txbxContent>
                  <w:sdt>
                    <w:sdtPr>
                      <w:rPr>
                        <w:b/>
                        <w:bCs/>
                        <w:color w:val="000000" w:themeColor="text1"/>
                      </w:rPr>
                      <w:alias w:val="Année"/>
                      <w:id w:val="78131013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:rsidR="003B6EAB" w:rsidRDefault="003B6EAB" w:rsidP="00C02FFC">
                        <w:pPr>
                          <w:pStyle w:val="En-tte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735679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ماستر</w:t>
                        </w:r>
                        <w:r w:rsidRPr="00735679">
                          <w:rPr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C02FFC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2</w:t>
                        </w:r>
                        <w:r w:rsidRPr="00735679">
                          <w:rPr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Pr="00735679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تهيئة</w:t>
                        </w:r>
                        <w:r w:rsidRPr="00735679">
                          <w:rPr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C2490B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حضرية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sdt>
      <w:sdtPr>
        <w:rPr>
          <w:rFonts w:cs="Traditional Arabic"/>
          <w:b/>
          <w:bCs/>
          <w:color w:val="000000" w:themeColor="text1"/>
          <w:sz w:val="28"/>
          <w:szCs w:val="28"/>
        </w:rPr>
        <w:alias w:val="Titre"/>
        <w:id w:val="7813100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3B6EAB">
          <w:rPr>
            <w:rFonts w:cs="Traditional Arabic"/>
            <w:b/>
            <w:bCs/>
            <w:color w:val="000000" w:themeColor="text1"/>
            <w:sz w:val="28"/>
            <w:szCs w:val="28"/>
            <w:rtl/>
          </w:rPr>
          <w:t xml:space="preserve">الأستاذ بن الشيخ الحسين وليد  - </w:t>
        </w:r>
        <w:r w:rsidR="00C02FFC">
          <w:rPr>
            <w:rFonts w:cs="Traditional Arabic" w:hint="cs"/>
            <w:b/>
            <w:bCs/>
            <w:color w:val="000000" w:themeColor="text1"/>
            <w:sz w:val="28"/>
            <w:szCs w:val="28"/>
            <w:rtl/>
          </w:rPr>
          <w:t>علم الاجتماع الحضري</w:t>
        </w:r>
        <w:r w:rsidR="003B6EAB">
          <w:rPr>
            <w:rFonts w:cs="Traditional Arabic"/>
            <w:b/>
            <w:bCs/>
            <w:color w:val="000000" w:themeColor="text1"/>
            <w:sz w:val="28"/>
            <w:szCs w:val="28"/>
            <w:rtl/>
          </w:rPr>
          <w:t xml:space="preserve">– كلية </w:t>
        </w:r>
        <w:r w:rsidR="003B6EAB">
          <w:rPr>
            <w:rFonts w:cs="Traditional Arabic" w:hint="cs"/>
            <w:b/>
            <w:bCs/>
            <w:color w:val="000000" w:themeColor="text1"/>
            <w:sz w:val="28"/>
            <w:szCs w:val="28"/>
            <w:rtl/>
          </w:rPr>
          <w:t>علوم الأرض و الهندسة المعمارية</w:t>
        </w:r>
      </w:sdtContent>
    </w:sdt>
  </w:p>
  <w:p w:rsidR="00A202AB" w:rsidRPr="003B6EAB" w:rsidRDefault="00A202AB" w:rsidP="003B6EA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98F"/>
    <w:multiLevelType w:val="hybridMultilevel"/>
    <w:tmpl w:val="96388D64"/>
    <w:lvl w:ilvl="0" w:tplc="363ACF7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30720"/>
    <w:multiLevelType w:val="hybridMultilevel"/>
    <w:tmpl w:val="650E3B20"/>
    <w:lvl w:ilvl="0" w:tplc="525E712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32694"/>
    <w:multiLevelType w:val="hybridMultilevel"/>
    <w:tmpl w:val="36C8270C"/>
    <w:lvl w:ilvl="0" w:tplc="BF14D6E8">
      <w:start w:val="3"/>
      <w:numFmt w:val="bullet"/>
      <w:lvlText w:val="-"/>
      <w:lvlJc w:val="left"/>
      <w:pPr>
        <w:ind w:left="45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28C67AC3"/>
    <w:multiLevelType w:val="hybridMultilevel"/>
    <w:tmpl w:val="410017B8"/>
    <w:lvl w:ilvl="0" w:tplc="A41AFCD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91E27"/>
    <w:multiLevelType w:val="hybridMultilevel"/>
    <w:tmpl w:val="DB1ECEDE"/>
    <w:lvl w:ilvl="0" w:tplc="B7D4D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648D3"/>
    <w:multiLevelType w:val="hybridMultilevel"/>
    <w:tmpl w:val="D31EB32E"/>
    <w:lvl w:ilvl="0" w:tplc="69A8B74E">
      <w:start w:val="1"/>
      <w:numFmt w:val="decimal"/>
      <w:lvlText w:val="%1-"/>
      <w:lvlJc w:val="left"/>
      <w:pPr>
        <w:ind w:left="735" w:hanging="375"/>
      </w:pPr>
      <w:rPr>
        <w:rFonts w:ascii="Traditional Arabic" w:hAnsi="Traditional Arabic" w:cs="Traditional Arabic"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F6650"/>
    <w:multiLevelType w:val="hybridMultilevel"/>
    <w:tmpl w:val="ACFA6038"/>
    <w:lvl w:ilvl="0" w:tplc="F08E09A0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46507"/>
    <w:multiLevelType w:val="hybridMultilevel"/>
    <w:tmpl w:val="A92A3E14"/>
    <w:lvl w:ilvl="0" w:tplc="425C2BAC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Traditional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>
      <o:colormenu v:ext="edit" fillcolor="none" strokecolor="none [3213]"/>
    </o:shapedefaults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202AB"/>
    <w:rsid w:val="00000838"/>
    <w:rsid w:val="000264DA"/>
    <w:rsid w:val="00026D13"/>
    <w:rsid w:val="0003158C"/>
    <w:rsid w:val="000403DD"/>
    <w:rsid w:val="0004306D"/>
    <w:rsid w:val="00051503"/>
    <w:rsid w:val="0007576A"/>
    <w:rsid w:val="000777EE"/>
    <w:rsid w:val="000809CC"/>
    <w:rsid w:val="000A07F5"/>
    <w:rsid w:val="000A6C99"/>
    <w:rsid w:val="000B4B38"/>
    <w:rsid w:val="00120690"/>
    <w:rsid w:val="001437E8"/>
    <w:rsid w:val="00153C1B"/>
    <w:rsid w:val="00160CA3"/>
    <w:rsid w:val="00163304"/>
    <w:rsid w:val="00167B8E"/>
    <w:rsid w:val="0017366F"/>
    <w:rsid w:val="001A14FC"/>
    <w:rsid w:val="001A4791"/>
    <w:rsid w:val="001B7124"/>
    <w:rsid w:val="001C6F09"/>
    <w:rsid w:val="001D3D44"/>
    <w:rsid w:val="001E2D8C"/>
    <w:rsid w:val="00213B88"/>
    <w:rsid w:val="002148FA"/>
    <w:rsid w:val="00231675"/>
    <w:rsid w:val="00242A90"/>
    <w:rsid w:val="0026051B"/>
    <w:rsid w:val="00260AAE"/>
    <w:rsid w:val="0027042F"/>
    <w:rsid w:val="00283A04"/>
    <w:rsid w:val="002F5FBE"/>
    <w:rsid w:val="002F6DBE"/>
    <w:rsid w:val="003013E1"/>
    <w:rsid w:val="0031556B"/>
    <w:rsid w:val="00326B1E"/>
    <w:rsid w:val="00340613"/>
    <w:rsid w:val="0035416C"/>
    <w:rsid w:val="0036486E"/>
    <w:rsid w:val="0036581E"/>
    <w:rsid w:val="003714F0"/>
    <w:rsid w:val="00380A7A"/>
    <w:rsid w:val="00390A06"/>
    <w:rsid w:val="00394929"/>
    <w:rsid w:val="00394A20"/>
    <w:rsid w:val="003956D2"/>
    <w:rsid w:val="003B6EAB"/>
    <w:rsid w:val="003C0FC7"/>
    <w:rsid w:val="003C5F07"/>
    <w:rsid w:val="00427B65"/>
    <w:rsid w:val="00447DB1"/>
    <w:rsid w:val="00451B95"/>
    <w:rsid w:val="004548DC"/>
    <w:rsid w:val="00461583"/>
    <w:rsid w:val="004634C4"/>
    <w:rsid w:val="004741E5"/>
    <w:rsid w:val="004A3AED"/>
    <w:rsid w:val="004B13AD"/>
    <w:rsid w:val="004C292B"/>
    <w:rsid w:val="004E111A"/>
    <w:rsid w:val="004F652B"/>
    <w:rsid w:val="004F79DC"/>
    <w:rsid w:val="005042DD"/>
    <w:rsid w:val="005504D7"/>
    <w:rsid w:val="00554AD8"/>
    <w:rsid w:val="00557BC3"/>
    <w:rsid w:val="005711BA"/>
    <w:rsid w:val="00572343"/>
    <w:rsid w:val="00577A76"/>
    <w:rsid w:val="00584D1D"/>
    <w:rsid w:val="00590992"/>
    <w:rsid w:val="005B7AF1"/>
    <w:rsid w:val="005D079C"/>
    <w:rsid w:val="005D2B0B"/>
    <w:rsid w:val="005D3DD9"/>
    <w:rsid w:val="0060219C"/>
    <w:rsid w:val="00643B12"/>
    <w:rsid w:val="00651797"/>
    <w:rsid w:val="00652D7B"/>
    <w:rsid w:val="00671C2E"/>
    <w:rsid w:val="006F24A2"/>
    <w:rsid w:val="00703F7E"/>
    <w:rsid w:val="00716329"/>
    <w:rsid w:val="00716F23"/>
    <w:rsid w:val="00716F74"/>
    <w:rsid w:val="00722BD0"/>
    <w:rsid w:val="00752537"/>
    <w:rsid w:val="00755877"/>
    <w:rsid w:val="0075649A"/>
    <w:rsid w:val="0079249D"/>
    <w:rsid w:val="00792B45"/>
    <w:rsid w:val="007A02BD"/>
    <w:rsid w:val="007A7553"/>
    <w:rsid w:val="007E59CA"/>
    <w:rsid w:val="007E66A3"/>
    <w:rsid w:val="007F4D0A"/>
    <w:rsid w:val="007F5C4B"/>
    <w:rsid w:val="007F67A1"/>
    <w:rsid w:val="008363F9"/>
    <w:rsid w:val="008528B2"/>
    <w:rsid w:val="00860A34"/>
    <w:rsid w:val="0087665C"/>
    <w:rsid w:val="00882461"/>
    <w:rsid w:val="008937B2"/>
    <w:rsid w:val="008D3F34"/>
    <w:rsid w:val="008F4660"/>
    <w:rsid w:val="00900D05"/>
    <w:rsid w:val="009064A5"/>
    <w:rsid w:val="00927DA4"/>
    <w:rsid w:val="00963A4D"/>
    <w:rsid w:val="00967FDD"/>
    <w:rsid w:val="0097284A"/>
    <w:rsid w:val="009B496B"/>
    <w:rsid w:val="009C0D86"/>
    <w:rsid w:val="009C373A"/>
    <w:rsid w:val="009D0DDB"/>
    <w:rsid w:val="009E3578"/>
    <w:rsid w:val="009E6A88"/>
    <w:rsid w:val="00A03303"/>
    <w:rsid w:val="00A11EDA"/>
    <w:rsid w:val="00A14F08"/>
    <w:rsid w:val="00A202AB"/>
    <w:rsid w:val="00A678D4"/>
    <w:rsid w:val="00A832D8"/>
    <w:rsid w:val="00A911A1"/>
    <w:rsid w:val="00A9402B"/>
    <w:rsid w:val="00AA3BCD"/>
    <w:rsid w:val="00AB5B61"/>
    <w:rsid w:val="00AE7E99"/>
    <w:rsid w:val="00AE7FCB"/>
    <w:rsid w:val="00AF7EE0"/>
    <w:rsid w:val="00B04245"/>
    <w:rsid w:val="00B1113C"/>
    <w:rsid w:val="00B13527"/>
    <w:rsid w:val="00B15C4A"/>
    <w:rsid w:val="00B47B53"/>
    <w:rsid w:val="00B53130"/>
    <w:rsid w:val="00B53B26"/>
    <w:rsid w:val="00B6271F"/>
    <w:rsid w:val="00B77226"/>
    <w:rsid w:val="00B847FF"/>
    <w:rsid w:val="00B91FAA"/>
    <w:rsid w:val="00B94BBF"/>
    <w:rsid w:val="00B966FF"/>
    <w:rsid w:val="00BB2DDC"/>
    <w:rsid w:val="00BC0C7B"/>
    <w:rsid w:val="00BC3EC6"/>
    <w:rsid w:val="00BD653B"/>
    <w:rsid w:val="00BD6D39"/>
    <w:rsid w:val="00BE7FA1"/>
    <w:rsid w:val="00C02FFC"/>
    <w:rsid w:val="00C07FB0"/>
    <w:rsid w:val="00C2490B"/>
    <w:rsid w:val="00C26E3D"/>
    <w:rsid w:val="00C4152D"/>
    <w:rsid w:val="00C50DDF"/>
    <w:rsid w:val="00C53B54"/>
    <w:rsid w:val="00C6587B"/>
    <w:rsid w:val="00CA66E7"/>
    <w:rsid w:val="00CC495F"/>
    <w:rsid w:val="00D2097F"/>
    <w:rsid w:val="00D60FB9"/>
    <w:rsid w:val="00D74435"/>
    <w:rsid w:val="00D74598"/>
    <w:rsid w:val="00D77F7D"/>
    <w:rsid w:val="00D87C7A"/>
    <w:rsid w:val="00DA392D"/>
    <w:rsid w:val="00DC134B"/>
    <w:rsid w:val="00DC2B81"/>
    <w:rsid w:val="00DC4E53"/>
    <w:rsid w:val="00DD0ACF"/>
    <w:rsid w:val="00DD30CA"/>
    <w:rsid w:val="00E358D2"/>
    <w:rsid w:val="00E446B2"/>
    <w:rsid w:val="00E45D55"/>
    <w:rsid w:val="00E6028A"/>
    <w:rsid w:val="00E64487"/>
    <w:rsid w:val="00E7147E"/>
    <w:rsid w:val="00E86C1F"/>
    <w:rsid w:val="00E95B23"/>
    <w:rsid w:val="00EA3F6B"/>
    <w:rsid w:val="00EA4A95"/>
    <w:rsid w:val="00EB1552"/>
    <w:rsid w:val="00EB1BB8"/>
    <w:rsid w:val="00ED5539"/>
    <w:rsid w:val="00EF03D8"/>
    <w:rsid w:val="00F0056E"/>
    <w:rsid w:val="00F042A8"/>
    <w:rsid w:val="00F129B9"/>
    <w:rsid w:val="00F23C75"/>
    <w:rsid w:val="00F72AA6"/>
    <w:rsid w:val="00F75976"/>
    <w:rsid w:val="00F76585"/>
    <w:rsid w:val="00F81C83"/>
    <w:rsid w:val="00FA21C3"/>
    <w:rsid w:val="00FD0C5C"/>
    <w:rsid w:val="00FD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F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20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202AB"/>
  </w:style>
  <w:style w:type="paragraph" w:styleId="Pieddepage">
    <w:name w:val="footer"/>
    <w:basedOn w:val="Normal"/>
    <w:link w:val="PieddepageCar"/>
    <w:uiPriority w:val="99"/>
    <w:semiHidden/>
    <w:unhideWhenUsed/>
    <w:rsid w:val="00A20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02AB"/>
  </w:style>
  <w:style w:type="paragraph" w:styleId="Textedebulles">
    <w:name w:val="Balloon Text"/>
    <w:basedOn w:val="Normal"/>
    <w:link w:val="TextedebullesCar"/>
    <w:uiPriority w:val="99"/>
    <w:semiHidden/>
    <w:unhideWhenUsed/>
    <w:rsid w:val="00A2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2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26E3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14F08"/>
    <w:rPr>
      <w:color w:val="808080"/>
    </w:rPr>
  </w:style>
  <w:style w:type="table" w:styleId="Grilledutableau">
    <w:name w:val="Table Grid"/>
    <w:basedOn w:val="TableauNormal"/>
    <w:uiPriority w:val="59"/>
    <w:rsid w:val="000B4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ماستر 2 تهيئة حضرية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B19608-4C96-4EA9-9B27-53CB073A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الأستاذ بن الشيخ الحسين وليد  - علم الاجتماع الحضري– كلية علوم الأرض و الهندسة المعمارية</vt:lpstr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الأستاذ بن الشيخ الحسين وليد  - علم الاجتماع الحضري– كلية علوم الأرض و الهندسة المعمارية</dc:title>
  <dc:subject/>
  <dc:creator>user</dc:creator>
  <cp:keywords/>
  <dc:description/>
  <cp:lastModifiedBy>pc</cp:lastModifiedBy>
  <cp:revision>48</cp:revision>
  <dcterms:created xsi:type="dcterms:W3CDTF">2002-04-17T21:14:00Z</dcterms:created>
  <dcterms:modified xsi:type="dcterms:W3CDTF">1979-12-31T23:08:00Z</dcterms:modified>
</cp:coreProperties>
</file>