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87" w:rsidRDefault="00542BC2">
      <w:pPr>
        <w:widowControl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eastAsia="Optima-Bold" w:hAnsi="Times New Roman" w:cs="Times New Roman"/>
          <w:b/>
          <w:bCs/>
          <w:color w:val="000000"/>
          <w:kern w:val="0"/>
          <w:sz w:val="28"/>
          <w:szCs w:val="28"/>
          <w:lang w:bidi="ar"/>
        </w:rPr>
        <w:t xml:space="preserve">ADAPTIVE BEHAVIOR ASSESSMENT </w:t>
      </w:r>
    </w:p>
    <w:p w:rsidR="00AB1C87" w:rsidRPr="002A458D" w:rsidRDefault="00542BC2">
      <w:pPr>
        <w:widowControl/>
        <w:jc w:val="left"/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</w:pP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Adaptive behavior includes those </w:t>
      </w:r>
      <w:r w:rsidRPr="00B86DB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 xml:space="preserve">skills </w:t>
      </w:r>
      <w:proofErr w:type="gramStart"/>
      <w:r w:rsidRPr="00B86DB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 xml:space="preserve">necessary </w:t>
      </w:r>
      <w:r w:rsidRPr="00B86DB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val="en-GB" w:bidi="ar"/>
        </w:rPr>
        <w:t xml:space="preserve"> </w:t>
      </w:r>
      <w:r w:rsidRPr="00B86DB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for</w:t>
      </w:r>
      <w:proofErr w:type="gramEnd"/>
      <w:r w:rsidRPr="00B86DB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 xml:space="preserve"> personal independence and social responsibility.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The criteria for evaluating adaptive behavior </w:t>
      </w: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vary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according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to age because those skills expected and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needed to be independent and responsible develop as an individual grows. As noted by Sattler (2002), adaptive behavior is most commonly evaluated only when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there are questions about an individual’s overall functioning and skills. Specifically, adaptive behavior is included as one of the areas </w:t>
      </w:r>
      <w:r w:rsidRPr="00B86DB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requiring documentation for a diagnosis of mental retardation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. There are two major diagnostic definitions of mental retardation</w:t>
      </w: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;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both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of these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include deficits in adaptive behavior as a required component for diagnosis of mental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retardation. In addition, cognitive deficits must be present for a diagnosis of mental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retardation.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 xml:space="preserve">The </w:t>
      </w:r>
      <w:r w:rsidRPr="002A458D">
        <w:rPr>
          <w:rFonts w:ascii="Times New Roman" w:eastAsia="Times-Italic" w:hAnsi="Times New Roman" w:cs="Times New Roman"/>
          <w:color w:val="000000"/>
          <w:kern w:val="0"/>
          <w:sz w:val="22"/>
          <w:szCs w:val="22"/>
          <w:highlight w:val="green"/>
          <w:lang w:bidi="ar"/>
        </w:rPr>
        <w:t>Diagnostic and Statistical Manual of Mental Disorders</w:t>
      </w:r>
      <w:r>
        <w:rPr>
          <w:rFonts w:ascii="Times New Roman" w:eastAsia="Times-Roman" w:hAnsi="Times New Roman" w:cs="Times New Roman"/>
          <w:color w:val="000000"/>
          <w:kern w:val="0"/>
          <w:sz w:val="22"/>
          <w:szCs w:val="22"/>
          <w:lang w:bidi="ar"/>
        </w:rPr>
        <w:t xml:space="preserve">, </w:t>
      </w:r>
      <w:r>
        <w:rPr>
          <w:rFonts w:ascii="Times New Roman" w:eastAsia="Times-Italic" w:hAnsi="Times New Roman" w:cs="Times New Roman"/>
          <w:color w:val="000000"/>
          <w:kern w:val="0"/>
          <w:sz w:val="22"/>
          <w:szCs w:val="22"/>
          <w:lang w:bidi="ar"/>
        </w:rPr>
        <w:t>Fourth Edition-Text</w:t>
      </w:r>
      <w:r w:rsidRPr="002A458D">
        <w:rPr>
          <w:rFonts w:ascii="Times New Roman" w:eastAsia="Times-Italic" w:hAnsi="Times New Roman" w:cs="Times New 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 New Roman" w:eastAsia="Times-Italic" w:hAnsi="Times New Roman" w:cs="Times New Roman"/>
          <w:color w:val="000000"/>
          <w:kern w:val="0"/>
          <w:sz w:val="22"/>
          <w:szCs w:val="22"/>
          <w:lang w:bidi="ar"/>
        </w:rPr>
        <w:t xml:space="preserve">Revision </w:t>
      </w:r>
      <w:r>
        <w:rPr>
          <w:rFonts w:ascii="Times New Roman" w:eastAsia="Times-Roman" w:hAnsi="Times New Roman" w:cs="Times New Roman"/>
          <w:color w:val="000000"/>
          <w:kern w:val="0"/>
          <w:sz w:val="22"/>
          <w:szCs w:val="22"/>
          <w:lang w:bidi="ar"/>
        </w:rPr>
        <w:t>(</w:t>
      </w:r>
      <w:r>
        <w:rPr>
          <w:rFonts w:ascii="Times New Roman" w:eastAsia="Times-Italic" w:hAnsi="Times New Roman" w:cs="Times New Roman"/>
          <w:color w:val="000000"/>
          <w:kern w:val="0"/>
          <w:sz w:val="22"/>
          <w:szCs w:val="22"/>
          <w:lang w:bidi="ar"/>
        </w:rPr>
        <w:t>DSM-IV-TR</w:t>
      </w:r>
      <w:proofErr w:type="gramStart"/>
      <w:r>
        <w:rPr>
          <w:rFonts w:ascii="Times New Roman" w:eastAsia="Times-Roman" w:hAnsi="Times New Roman" w:cs="Times New Roman"/>
          <w:color w:val="000000"/>
          <w:kern w:val="0"/>
          <w:sz w:val="22"/>
          <w:szCs w:val="22"/>
          <w:lang w:bidi="ar"/>
        </w:rPr>
        <w:t xml:space="preserve">) </w:t>
      </w:r>
      <w:r w:rsidRPr="002A458D">
        <w:rPr>
          <w:rFonts w:ascii="Times New Roman" w:eastAsia="Times-Roman" w:hAnsi="Times New Roman" w:cs="Times New 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is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published by the American Psychiatric Association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(2000) and includes specific domains of adaptive behavior in its definition of mental retardation. According to the </w:t>
      </w:r>
      <w:r>
        <w:rPr>
          <w:rFonts w:ascii="Times-Italic" w:eastAsia="Times-Italic" w:hAnsi="Times-Italic" w:cs="Times-Italic"/>
          <w:i/>
          <w:iCs/>
          <w:color w:val="000000"/>
          <w:kern w:val="0"/>
          <w:sz w:val="22"/>
          <w:szCs w:val="22"/>
          <w:lang w:bidi="ar"/>
        </w:rPr>
        <w:t>DSM-IV-TR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, mental retardation is characterized in part by “significant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limitations in 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yellow"/>
          <w:lang w:bidi="ar"/>
        </w:rPr>
        <w:t>adaptive functioning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in at least two of the following skill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areas: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communication,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val="en-GB" w:bidi="ar"/>
        </w:rPr>
        <w:t xml:space="preserve">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 xml:space="preserve">self-care, home living, social/ interpersonal skills, use of community resources, </w:t>
      </w:r>
      <w:proofErr w:type="spellStart"/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self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val="en-GB" w:bidi="ar"/>
        </w:rPr>
        <w:t xml:space="preserve">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direction</w:t>
      </w:r>
      <w:proofErr w:type="spellEnd"/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, functional academic skills, work, leisure, health, and safety.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” While the </w:t>
      </w:r>
      <w:r>
        <w:rPr>
          <w:rFonts w:ascii="Times-Italic" w:eastAsia="Times-Italic" w:hAnsi="Times-Italic" w:cs="Times-Italic"/>
          <w:i/>
          <w:iCs/>
          <w:color w:val="000000"/>
          <w:kern w:val="0"/>
          <w:sz w:val="22"/>
          <w:szCs w:val="22"/>
          <w:lang w:bidi="ar"/>
        </w:rPr>
        <w:t>DSM-IV-TR</w:t>
      </w:r>
      <w:r w:rsidRPr="002A458D">
        <w:rPr>
          <w:rFonts w:ascii="Times-Italic" w:eastAsia="Times-Italic" w:hAnsi="Times-Italic" w:cs="Times-Italic"/>
          <w:i/>
          <w:iCs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criteria are designed for use in the diagnostic process, they also provide several domains of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functioning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typically included in assessment of overall adaptive behavior.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</w:p>
    <w:p w:rsidR="00AB1C87" w:rsidRDefault="00542BC2">
      <w:pPr>
        <w:widowControl/>
        <w:jc w:val="left"/>
      </w:pP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A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seconconceptualization</w:t>
      </w:r>
      <w:proofErr w:type="spell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of adaptive </w:t>
      </w: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behavior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is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included the 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American Association of Mental Retardation (AAMR) (2002).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The AAMR wording </w:t>
      </w: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is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more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broad and includes three domains of adaptive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skills: 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conceptual, social, and practical.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The </w:t>
      </w: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AAMR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definition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is accompanied by five major principles for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the assessment and understanding of adaptive behavior: </w:t>
      </w:r>
    </w:p>
    <w:p w:rsidR="00AB1C87" w:rsidRDefault="00542BC2">
      <w:pPr>
        <w:widowControl/>
        <w:jc w:val="left"/>
        <w:rPr>
          <w:b/>
          <w:bCs/>
        </w:rPr>
      </w:pP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1. Limitations in present functioning must </w:t>
      </w:r>
      <w:proofErr w:type="gramStart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be </w:t>
      </w:r>
      <w:r w:rsidRPr="002A458D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>considered</w:t>
      </w:r>
      <w:proofErr w:type="gramEnd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 within </w:t>
      </w:r>
      <w:r w:rsidRPr="00542BC2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highlight w:val="green"/>
          <w:lang w:bidi="ar"/>
        </w:rPr>
        <w:t xml:space="preserve">the context of community </w:t>
      </w:r>
      <w:r w:rsidRPr="00542BC2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highlight w:val="green"/>
          <w:lang w:val="en-GB" w:bidi="ar"/>
        </w:rPr>
        <w:t xml:space="preserve"> </w:t>
      </w:r>
      <w:r w:rsidRPr="00542BC2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highlight w:val="green"/>
          <w:lang w:bidi="ar"/>
        </w:rPr>
        <w:t>environments</w:t>
      </w: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 typical of the </w:t>
      </w:r>
      <w:r w:rsidRPr="00542BC2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highlight w:val="green"/>
          <w:lang w:bidi="ar"/>
        </w:rPr>
        <w:t>individual’s age</w:t>
      </w: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, </w:t>
      </w:r>
      <w:r w:rsidRPr="002A458D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en-GB" w:bidi="ar"/>
        </w:rPr>
        <w:t xml:space="preserve"> </w:t>
      </w:r>
      <w:r w:rsidRPr="00542BC2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highlight w:val="green"/>
          <w:lang w:bidi="ar"/>
        </w:rPr>
        <w:t>peers, and culture.</w:t>
      </w: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 </w:t>
      </w:r>
    </w:p>
    <w:p w:rsidR="00AB1C87" w:rsidRDefault="00542BC2">
      <w:pPr>
        <w:widowControl/>
        <w:jc w:val="left"/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2. Valid assessment considers cultural and linguistic diversity as well as </w:t>
      </w:r>
      <w:r w:rsidRPr="00542BC2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highlight w:val="green"/>
          <w:lang w:bidi="ar"/>
        </w:rPr>
        <w:t>differences in communication, sensory, motor, and behavioral factors.</w:t>
      </w:r>
    </w:p>
    <w:p w:rsidR="00AB1C87" w:rsidRDefault="00542BC2">
      <w:pPr>
        <w:widowControl/>
        <w:jc w:val="left"/>
        <w:rPr>
          <w:b/>
          <w:bCs/>
        </w:rPr>
      </w:pP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3. Within an individual, limitations often coexist with strengths. </w:t>
      </w:r>
    </w:p>
    <w:p w:rsidR="00AB1C87" w:rsidRDefault="00542BC2">
      <w:pPr>
        <w:widowControl/>
        <w:jc w:val="left"/>
        <w:rPr>
          <w:b/>
          <w:bCs/>
        </w:rPr>
      </w:pP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4. An important purpose of describing </w:t>
      </w:r>
      <w:proofErr w:type="gramStart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limitations </w:t>
      </w:r>
      <w:r w:rsidRPr="002A458D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>is</w:t>
      </w:r>
      <w:proofErr w:type="gramEnd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 to develop a profile of needed supports. </w:t>
      </w:r>
    </w:p>
    <w:p w:rsidR="00AB1C87" w:rsidRPr="002A458D" w:rsidRDefault="00542BC2">
      <w:pPr>
        <w:widowControl/>
        <w:jc w:val="left"/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en-GB" w:bidi="ar"/>
        </w:rPr>
      </w:pP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5. With appropriate personalized supports over a sustained period, the life functioning of the person with mental retardation generally </w:t>
      </w:r>
      <w:proofErr w:type="gramStart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will </w:t>
      </w:r>
      <w:r w:rsidRPr="002A458D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>improve</w:t>
      </w:r>
      <w:proofErr w:type="gramEnd"/>
      <w:r w:rsidRPr="002A458D"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en-GB" w:bidi="ar"/>
        </w:rPr>
        <w:t>.</w:t>
      </w:r>
    </w:p>
    <w:p w:rsidR="00AB1C87" w:rsidRDefault="00AB1C87">
      <w:pPr>
        <w:widowControl/>
        <w:jc w:val="left"/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</w:pPr>
    </w:p>
    <w:p w:rsidR="00AB1C87" w:rsidRDefault="00542BC2">
      <w:pPr>
        <w:widowControl/>
        <w:numPr>
          <w:ilvl w:val="0"/>
          <w:numId w:val="1"/>
        </w:numPr>
        <w:jc w:val="left"/>
        <w:rPr>
          <w:rFonts w:ascii="Times-Roman" w:eastAsia="Times-Roman" w:hAnsi="Times-Roman" w:cs="Times-Roman"/>
          <w:b/>
          <w:bCs/>
          <w:i/>
          <w:iCs/>
          <w:color w:val="000000"/>
          <w:kern w:val="0"/>
          <w:sz w:val="22"/>
          <w:szCs w:val="22"/>
          <w:lang w:val="fr-FR" w:bidi="ar"/>
        </w:rPr>
      </w:pPr>
      <w:r>
        <w:rPr>
          <w:rFonts w:ascii="Times New Roman" w:eastAsia="Times-Italic" w:hAnsi="Times New Roman" w:cs="Times New Roman"/>
          <w:b/>
          <w:bCs/>
          <w:i/>
          <w:iCs/>
          <w:color w:val="000000"/>
          <w:kern w:val="0"/>
          <w:sz w:val="22"/>
          <w:szCs w:val="22"/>
          <w:lang w:bidi="ar"/>
        </w:rPr>
        <w:t xml:space="preserve">DSM-IV-TR </w:t>
      </w:r>
      <w:r>
        <w:rPr>
          <w:rFonts w:ascii="Times New Roman" w:eastAsia="Times-Italic" w:hAnsi="Times New Roman" w:cs="Times New Roman"/>
          <w:b/>
          <w:bCs/>
          <w:i/>
          <w:iCs/>
          <w:color w:val="000000"/>
          <w:kern w:val="0"/>
          <w:sz w:val="22"/>
          <w:szCs w:val="22"/>
          <w:lang w:val="fr-FR" w:bidi="ar"/>
        </w:rPr>
        <w:t xml:space="preserve"> and  </w:t>
      </w:r>
      <w:r>
        <w:rPr>
          <w:rFonts w:ascii="Times-Roman" w:eastAsia="Times-Roman" w:hAnsi="Times-Roman" w:cs="Times-Roman"/>
          <w:b/>
          <w:bCs/>
          <w:i/>
          <w:iCs/>
          <w:color w:val="000000"/>
          <w:kern w:val="0"/>
          <w:sz w:val="22"/>
          <w:szCs w:val="22"/>
          <w:lang w:bidi="ar"/>
        </w:rPr>
        <w:t>AAMR</w:t>
      </w:r>
    </w:p>
    <w:p w:rsidR="00AB1C87" w:rsidRDefault="00542BC2">
      <w:pPr>
        <w:widowControl/>
        <w:jc w:val="left"/>
      </w:pP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An important difference between the </w:t>
      </w: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definitions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of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adaptive behavior provided by the </w:t>
      </w:r>
      <w:r w:rsidRPr="00542BC2">
        <w:rPr>
          <w:rFonts w:ascii="Times-Italic" w:eastAsia="Times-Italic" w:hAnsi="Times-Italic" w:cs="Times-Italic"/>
          <w:i/>
          <w:iCs/>
          <w:color w:val="000000"/>
          <w:kern w:val="0"/>
          <w:sz w:val="22"/>
          <w:szCs w:val="22"/>
          <w:highlight w:val="green"/>
          <w:lang w:bidi="ar"/>
        </w:rPr>
        <w:t xml:space="preserve">DSM-IV-TR </w:t>
      </w:r>
      <w:r w:rsidRPr="00542BC2">
        <w:rPr>
          <w:rFonts w:ascii="Times-Italic" w:eastAsia="Times-Italic" w:hAnsi="Times-Italic" w:cs="Times-Italic"/>
          <w:i/>
          <w:iCs/>
          <w:color w:val="000000"/>
          <w:kern w:val="0"/>
          <w:sz w:val="22"/>
          <w:szCs w:val="22"/>
          <w:highlight w:val="green"/>
          <w:lang w:val="en-GB" w:bidi="ar"/>
        </w:rPr>
        <w:t xml:space="preserve"> 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and by the AAMR is the durability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of adaptive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behavior limitations. The </w:t>
      </w:r>
      <w:r>
        <w:rPr>
          <w:rFonts w:ascii="Times-Italic" w:eastAsia="Times-Italic" w:hAnsi="Times-Italic" w:cs="Times-Italic"/>
          <w:i/>
          <w:iCs/>
          <w:color w:val="000000"/>
          <w:kern w:val="0"/>
          <w:sz w:val="22"/>
          <w:szCs w:val="22"/>
          <w:lang w:bidi="ar"/>
        </w:rPr>
        <w:t xml:space="preserve">DSM-IV-TR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definition </w:t>
      </w: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is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typically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interpreted such that adaptive behavior </w:t>
      </w:r>
    </w:p>
    <w:p w:rsidR="00AB1C87" w:rsidRDefault="00542BC2">
      <w:pPr>
        <w:widowControl/>
        <w:jc w:val="left"/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</w:pP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lastRenderedPageBreak/>
        <w:t>deficits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are considered to 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be permanent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characteristics of an individual,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and they 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are not expected to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val="en-GB" w:bidi="ar"/>
        </w:rPr>
        <w:t xml:space="preserve"> 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change over time.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By contrast, the AAMR </w:t>
      </w: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definition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includes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broader terms and is accompanied by a guiding principle  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>that acknowledges an individual’s adaptive behavior could change over time.</w:t>
      </w:r>
    </w:p>
    <w:p w:rsidR="00AB1C87" w:rsidRDefault="00542BC2">
      <w:pPr>
        <w:widowControl/>
        <w:numPr>
          <w:ilvl w:val="0"/>
          <w:numId w:val="1"/>
        </w:numPr>
        <w:jc w:val="left"/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</w:pPr>
      <w:proofErr w:type="spellStart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fr-FR" w:bidi="ar"/>
        </w:rPr>
        <w:t>Criteria</w:t>
      </w:r>
      <w:proofErr w:type="spellEnd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fr-FR" w:bidi="ar"/>
        </w:rPr>
        <w:t xml:space="preserve"> of Ada</w:t>
      </w:r>
      <w:bookmarkStart w:id="0" w:name="_GoBack"/>
      <w:bookmarkEnd w:id="0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fr-FR" w:bidi="ar"/>
        </w:rPr>
        <w:t xml:space="preserve">ptive </w:t>
      </w: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fr-FR" w:bidi="ar"/>
        </w:rPr>
        <w:t>B</w:t>
      </w:r>
      <w:proofErr w:type="spellStart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>ehavior</w:t>
      </w:r>
      <w:proofErr w:type="spellEnd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fr-FR" w:bidi="ar"/>
        </w:rPr>
        <w:t>A</w:t>
      </w:r>
      <w:proofErr w:type="spellStart"/>
      <w:r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  <w:t>ssessments</w:t>
      </w:r>
      <w:proofErr w:type="spellEnd"/>
    </w:p>
    <w:p w:rsidR="00AB1C87" w:rsidRDefault="00542BC2">
      <w:pPr>
        <w:widowControl/>
        <w:jc w:val="left"/>
      </w:pP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</w:t>
      </w:r>
      <w:proofErr w:type="gramStart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>to</w:t>
      </w:r>
      <w:proofErr w:type="gramEnd"/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 be considered comprehensive and include the three components described above, it is recommended that they include </w:t>
      </w:r>
      <w:r w:rsidRPr="002A458D">
        <w:rPr>
          <w:rFonts w:ascii="Times-Roman" w:eastAsia="Times-Roman" w:hAnsi="Times-Roman" w:cs="Times-Roman"/>
          <w:color w:val="000000"/>
          <w:kern w:val="0"/>
          <w:sz w:val="22"/>
          <w:szCs w:val="22"/>
          <w:lang w:val="en-GB" w:bidi="ar"/>
        </w:rPr>
        <w:t xml:space="preserve"> </w:t>
      </w: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at least two, and preferably three (depending on the specific needs of the child or the nature of the child’s problems), types of data about the individual being assessed. Specifically, a comprehensive adaptive behavior assessment should include information obtained from: </w:t>
      </w:r>
    </w:p>
    <w:p w:rsidR="00AB1C87" w:rsidRPr="00542BC2" w:rsidRDefault="00542BC2">
      <w:pPr>
        <w:widowControl/>
        <w:jc w:val="left"/>
        <w:rPr>
          <w:highlight w:val="green"/>
        </w:rPr>
      </w:pPr>
      <w:r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1. </w:t>
      </w: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 xml:space="preserve">Observations of the individual in real-life, everyday situations </w:t>
      </w:r>
    </w:p>
    <w:p w:rsidR="00AB1C87" w:rsidRPr="00542BC2" w:rsidRDefault="00542BC2" w:rsidP="00E72941">
      <w:pPr>
        <w:widowControl/>
        <w:jc w:val="left"/>
        <w:rPr>
          <w:highlight w:val="green"/>
        </w:rPr>
      </w:pP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 xml:space="preserve">2. Performance on tasks taken from </w:t>
      </w:r>
      <w:r w:rsidR="00E72941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 xml:space="preserve">curricular activities. </w:t>
      </w:r>
    </w:p>
    <w:p w:rsidR="00AB1C87" w:rsidRDefault="00542BC2" w:rsidP="00E72941">
      <w:pPr>
        <w:widowControl/>
        <w:jc w:val="left"/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</w:pPr>
      <w:r w:rsidRPr="00542BC2">
        <w:rPr>
          <w:rFonts w:ascii="Times-Roman" w:eastAsia="Times-Roman" w:hAnsi="Times-Roman" w:cs="Times-Roman"/>
          <w:color w:val="000000"/>
          <w:kern w:val="0"/>
          <w:sz w:val="22"/>
          <w:szCs w:val="22"/>
          <w:highlight w:val="green"/>
          <w:lang w:bidi="ar"/>
        </w:rPr>
        <w:t xml:space="preserve">3. Interviews and checklists completed by those who </w:t>
      </w:r>
      <w:r w:rsidR="00E72941"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  <w:t xml:space="preserve">are concerned with adaptive behavior studies. </w:t>
      </w:r>
    </w:p>
    <w:p w:rsidR="00E72941" w:rsidRDefault="00E72941" w:rsidP="00E72941">
      <w:pPr>
        <w:widowControl/>
        <w:jc w:val="left"/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</w:pPr>
    </w:p>
    <w:p w:rsidR="00AB1C87" w:rsidRDefault="00AB1C87">
      <w:pPr>
        <w:widowControl/>
        <w:jc w:val="left"/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</w:pPr>
    </w:p>
    <w:p w:rsidR="00AB1C87" w:rsidRDefault="00AB1C87">
      <w:pPr>
        <w:widowControl/>
        <w:jc w:val="left"/>
        <w:rPr>
          <w:rFonts w:ascii="Times-Roman" w:eastAsia="Times-Roman" w:hAnsi="Times-Roman" w:cs="Times-Roman"/>
          <w:color w:val="000000"/>
          <w:kern w:val="0"/>
          <w:sz w:val="22"/>
          <w:szCs w:val="22"/>
          <w:lang w:bidi="ar"/>
        </w:rPr>
      </w:pPr>
    </w:p>
    <w:p w:rsidR="00AB1C87" w:rsidRPr="002A458D" w:rsidRDefault="00AB1C87">
      <w:pPr>
        <w:widowControl/>
        <w:jc w:val="left"/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val="en-GB" w:bidi="ar"/>
        </w:rPr>
      </w:pPr>
    </w:p>
    <w:p w:rsidR="00AB1C87" w:rsidRDefault="00AB1C87">
      <w:pPr>
        <w:widowControl/>
        <w:jc w:val="left"/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</w:pPr>
    </w:p>
    <w:p w:rsidR="00AB1C87" w:rsidRDefault="00AB1C87">
      <w:pPr>
        <w:widowControl/>
        <w:jc w:val="left"/>
        <w:rPr>
          <w:rFonts w:ascii="Times-Roman" w:eastAsia="Times-Roman" w:hAnsi="Times-Roman" w:cs="Times-Roman"/>
          <w:b/>
          <w:bCs/>
          <w:color w:val="000000"/>
          <w:kern w:val="0"/>
          <w:sz w:val="22"/>
          <w:szCs w:val="22"/>
          <w:lang w:bidi="ar"/>
        </w:rPr>
      </w:pPr>
    </w:p>
    <w:p w:rsidR="00AB1C87" w:rsidRDefault="00AB1C87">
      <w:pPr>
        <w:rPr>
          <w:b/>
          <w:bCs/>
        </w:rPr>
      </w:pPr>
    </w:p>
    <w:sectPr w:rsidR="00AB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-Bold">
    <w:altName w:val="Segoe Print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imes-Italic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D05E05"/>
    <w:multiLevelType w:val="singleLevel"/>
    <w:tmpl w:val="B7D05E0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A35CF"/>
    <w:rsid w:val="002A458D"/>
    <w:rsid w:val="00542BC2"/>
    <w:rsid w:val="00AB1C87"/>
    <w:rsid w:val="00B86DB2"/>
    <w:rsid w:val="00E72941"/>
    <w:rsid w:val="576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69FB78-E666-48EE-AA69-91F87BC7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Compte Microsoft</cp:lastModifiedBy>
  <cp:revision>2</cp:revision>
  <dcterms:created xsi:type="dcterms:W3CDTF">2022-12-16T19:58:00Z</dcterms:created>
  <dcterms:modified xsi:type="dcterms:W3CDTF">2024-11-20T08:06:00Z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1036-11.2.0.11380</vt:lpwstr>
  </property>
  <property fmtid="{D5CDD505-2E9C-101B-9397-08002B2CF9AE}" pid="3" name="ICV">
    <vt:lpwstr>D4D20971F80E4301A8A4B82B03D9B106</vt:lpwstr>
  </property>
</Properties>
</file>