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both"/>
        <w:rPr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6"/>
          <w:szCs w:val="36"/>
          <w:rtl w:val="1"/>
        </w:rPr>
        <w:t xml:space="preserve">البحوث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الخاصة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بمقياس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الالكترونية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                                           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الاستاذة</w:t>
      </w:r>
      <w:r w:rsidDel="00000000" w:rsidR="00000000" w:rsidRPr="00000000">
        <w:rPr>
          <w:b w:val="1"/>
          <w:sz w:val="36"/>
          <w:szCs w:val="36"/>
          <w:rtl w:val="1"/>
        </w:rPr>
        <w:t xml:space="preserve"> : </w:t>
      </w:r>
      <w:r w:rsidDel="00000000" w:rsidR="00000000" w:rsidRPr="00000000">
        <w:rPr>
          <w:b w:val="1"/>
          <w:sz w:val="36"/>
          <w:szCs w:val="36"/>
          <w:rtl w:val="1"/>
        </w:rPr>
        <w:t xml:space="preserve">لخضر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دلال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الاول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اساسيات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المفهوم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المترادفات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ابعاد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نشاة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اسباب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متطلبات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عناصر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الشبكية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التحديات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والمعوقات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الحكومة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المفهوم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الاهداف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المبادئ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المجالات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الرئيسية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لانشطة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الجكومة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الحوكمة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وظائف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الإدارة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التخطيط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التنظيم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الإلكتروني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الرقابة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المرفق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انواعه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ﻤﻔﻬﻭﻡ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ﺍﻟﺨﺩﻤﺔ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ﺍﻟﻌﺎﻤﺔ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مبادئها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وخصائصها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b w:val="1"/>
          <w:sz w:val="32"/>
          <w:szCs w:val="32"/>
          <w:rtl w:val="0"/>
        </w:rPr>
        <w:t xml:space="preserve">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مجالات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المرفق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قطاع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قطاع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الاشارة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التجربة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الجزائرية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8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السابع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مجالات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المرفق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قطاع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الاشارة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التجربة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الجزائرية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الثامن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مجالات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الإدارة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المرفق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قطاع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قطاع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العدالة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/ 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قطاع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البنوك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)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الاشارة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التجربة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الجزائرية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C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التاسع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:.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تجارب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رائدة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التجربة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الأمريكية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تجربة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سنغافورة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</w:p>
    <w:p w:rsidR="00000000" w:rsidDel="00000000" w:rsidP="00000000" w:rsidRDefault="00000000" w:rsidRPr="00000000" w14:paraId="0000000E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العاشر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تجارب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رائدة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التجربة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الاردنية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تجربة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الامارات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)</w:t>
      </w:r>
    </w:p>
    <w:p w:rsidR="00000000" w:rsidDel="00000000" w:rsidP="00000000" w:rsidRDefault="00000000" w:rsidRPr="00000000" w14:paraId="00000010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الحادي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مقارنة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تجارب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تونس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الجزائر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B3C2C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46FE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6Colorful-Accent6">
    <w:name w:val="Grid Table 6 Colorful Accent 6"/>
    <w:basedOn w:val="TableNormal"/>
    <w:uiPriority w:val="51"/>
    <w:rsid w:val="00E61802"/>
    <w:pPr>
      <w:spacing w:after="0" w:line="240" w:lineRule="auto"/>
    </w:pPr>
    <w:rPr>
      <w:color w:val="538135" w:themeColor="accent6" w:themeShade="0000BF"/>
    </w:r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paragraph" w:styleId="ListParagraph">
    <w:name w:val="List Paragraph"/>
    <w:basedOn w:val="Normal"/>
    <w:uiPriority w:val="34"/>
    <w:qFormat w:val="1"/>
    <w:rsid w:val="00120EB7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7B3C2C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table" w:styleId="GridTable6Colorful-Accent2">
    <w:name w:val="Grid Table 6 Colorful Accent 2"/>
    <w:basedOn w:val="TableNormal"/>
    <w:uiPriority w:val="51"/>
    <w:rsid w:val="00D73C35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D73C35"/>
    <w:pPr>
      <w:spacing w:after="0" w:line="240" w:lineRule="auto"/>
    </w:pPr>
    <w:rPr>
      <w:color w:val="bf8f00" w:themeColor="accent4" w:themeShade="0000BF"/>
    </w:rPr>
    <w:tblPr>
      <w:tblStyleRowBandSize w:val="1"/>
      <w:tblStyleColBandSize w:val="1"/>
      <w:tblBorders>
        <w:top w:color="ffd966" w:space="0" w:sz="4" w:themeColor="accent4" w:themeTint="000099" w:val="single"/>
        <w:left w:color="ffd966" w:space="0" w:sz="4" w:themeColor="accent4" w:themeTint="000099" w:val="single"/>
        <w:bottom w:color="ffd966" w:space="0" w:sz="4" w:themeColor="accent4" w:themeTint="000099" w:val="single"/>
        <w:right w:color="ffd966" w:space="0" w:sz="4" w:themeColor="accent4" w:themeTint="000099" w:val="single"/>
        <w:insideH w:color="ffd966" w:space="0" w:sz="4" w:themeColor="accent4" w:themeTint="000099" w:val="single"/>
        <w:insideV w:color="ffd966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d966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d966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D73C35"/>
    <w:pPr>
      <w:spacing w:after="0" w:line="240" w:lineRule="auto"/>
    </w:pPr>
    <w:rPr>
      <w:color w:val="2f5496" w:themeColor="accent5" w:themeShade="0000BF"/>
    </w:rPr>
    <w:tblPr>
      <w:tblStyleRowBandSize w:val="1"/>
      <w:tblStyleColBandSize w:val="1"/>
      <w:tblBorders>
        <w:top w:color="8eaadb" w:space="0" w:sz="4" w:themeColor="accent5" w:themeTint="000099" w:val="single"/>
        <w:left w:color="8eaadb" w:space="0" w:sz="4" w:themeColor="accent5" w:themeTint="000099" w:val="single"/>
        <w:bottom w:color="8eaadb" w:space="0" w:sz="4" w:themeColor="accent5" w:themeTint="000099" w:val="single"/>
        <w:right w:color="8eaadb" w:space="0" w:sz="4" w:themeColor="accent5" w:themeTint="000099" w:val="single"/>
        <w:insideH w:color="8eaadb" w:space="0" w:sz="4" w:themeColor="accent5" w:themeTint="000099" w:val="single"/>
        <w:insideV w:color="8eaadb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8eaadb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eaadb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GridTable6Colorful">
    <w:name w:val="Grid Table 6 Colorful"/>
    <w:basedOn w:val="TableNormal"/>
    <w:uiPriority w:val="51"/>
    <w:rsid w:val="00D73C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9CRHQ59GkGoBoILJTcCdMo/6A==">CgMxLjAyCGguZ2pkZ3hzOAByITFEbmZHc1Zfc2JCal8waWc5akJzTDd0T1J4NkxyX2pleA==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2023-09-24T20:54:00Z</dcterms:created>
  <dc:creator>star</dc:creator>
</cp:coreProperties>
</file>