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ED" w:rsidRDefault="007F3DED" w:rsidP="007F3DED">
      <w:pPr>
        <w:jc w:val="center"/>
        <w:rPr>
          <w:rFonts w:asciiTheme="majorBidi" w:hAnsiTheme="majorBidi" w:cstheme="majorBidi"/>
          <w:sz w:val="28"/>
          <w:szCs w:val="28"/>
          <w:lang w:val="fr-FR"/>
        </w:rPr>
      </w:pPr>
      <w:r w:rsidRPr="007F3DED">
        <w:rPr>
          <w:rFonts w:asciiTheme="majorBidi" w:hAnsiTheme="majorBidi" w:cstheme="majorBidi"/>
          <w:sz w:val="28"/>
          <w:szCs w:val="28"/>
          <w:lang w:val="fr-FR"/>
        </w:rPr>
        <w:t>Aperçu des stratégies d’apprentissage</w:t>
      </w:r>
    </w:p>
    <w:p w:rsidR="007F3DED" w:rsidRDefault="007F3DED" w:rsidP="007F3DED">
      <w:pPr>
        <w:jc w:val="center"/>
        <w:rPr>
          <w:rFonts w:asciiTheme="majorBidi" w:hAnsiTheme="majorBidi" w:cstheme="majorBidi"/>
          <w:sz w:val="28"/>
          <w:szCs w:val="28"/>
          <w:lang w:val="fr-FR"/>
        </w:rPr>
      </w:pPr>
    </w:p>
    <w:p w:rsidR="007F3DED" w:rsidRDefault="007F3DED" w:rsidP="007F3DED">
      <w:pPr>
        <w:jc w:val="both"/>
        <w:rPr>
          <w:rFonts w:asciiTheme="majorBidi" w:hAnsiTheme="majorBidi" w:cstheme="majorBidi"/>
          <w:sz w:val="28"/>
          <w:szCs w:val="28"/>
          <w:lang w:val="fr-FR"/>
        </w:rPr>
      </w:pPr>
      <w:r w:rsidRPr="007F3DED">
        <w:rPr>
          <w:rFonts w:asciiTheme="majorBidi" w:hAnsiTheme="majorBidi" w:cstheme="majorBidi"/>
          <w:sz w:val="28"/>
          <w:szCs w:val="28"/>
          <w:lang w:val="fr-FR"/>
        </w:rPr>
        <w:t xml:space="preserve">A - Les différences individuelles en apprentissage des langues </w:t>
      </w:r>
    </w:p>
    <w:p w:rsidR="00D91541" w:rsidRDefault="007F3DED" w:rsidP="007F3DED">
      <w:pPr>
        <w:spacing w:line="360" w:lineRule="auto"/>
        <w:ind w:firstLine="720"/>
        <w:jc w:val="both"/>
        <w:rPr>
          <w:rFonts w:asciiTheme="majorBidi" w:hAnsiTheme="majorBidi" w:cstheme="majorBidi"/>
          <w:sz w:val="28"/>
          <w:szCs w:val="28"/>
          <w:lang w:val="fr-FR"/>
        </w:rPr>
      </w:pPr>
      <w:r w:rsidRPr="007F3DED">
        <w:rPr>
          <w:rFonts w:asciiTheme="majorBidi" w:hAnsiTheme="majorBidi" w:cstheme="majorBidi"/>
          <w:sz w:val="28"/>
          <w:szCs w:val="28"/>
          <w:lang w:val="fr-FR"/>
        </w:rPr>
        <w:t>L’utilisation des stratégies d’apprentissage est un exemple des différences individuelles qui caractérisent un apprenant. Avant d’en venir aux stratégies d’apprentissage proprement dites, parlons des différences individuelles en général. La recherche sur la description et le classement des différences individuelles est abondante et souvent contradictoire. Mais, de façon générale, nous pouvons en distinguer quatre grandes catégories: les facteurs cognitifs; les facteurs affectifs: la personnalité ou, plus précisément, le degré d’anxiété, la confiance en soi et le degré d’autonomie ainsi que l’attitude envers l’apprentissage de la langue et la motivation; les facteurs socioculturels (âge, sexe, éducation); l’utilisation des stratégies (stratégies d’apprentissage, stratégies de communication et stratégies sociales, identifiées par les chercheurs). Les premières différences, cognitives, affectives et socioculturelles, sont en grande partie inconscientes et incontrôlables par l’individu. Elles peuvent évoluer avec le temps mais nous supposons qu’elles sont stables à un moment donné de l’apprentissage. En revanche, les stratégies d’apprentissage sont des techniques que l’apprenant peut choisir sciemment et utiliser pour mieux apprendre. Les facteurs cognitifs comprennent l’aptitude à apprendre des langues, l’intelligence et le style cognitif. Passons rapidement sur l’aptitude linguistique et l’intelligence qui sont secondaires dans le cadre de cette communication et attardons-nous sur le style d’apprentissage et le style cognitif. L’aptitude et</w:t>
      </w:r>
      <w:r w:rsidRPr="007F3DED">
        <w:rPr>
          <w:rFonts w:asciiTheme="majorBidi" w:hAnsiTheme="majorBidi" w:cstheme="majorBidi"/>
          <w:sz w:val="28"/>
          <w:szCs w:val="28"/>
          <w:lang w:val="fr-FR"/>
        </w:rPr>
        <w:t xml:space="preserve"> l’intelligence sont deux concepts différents bien qu’il y ait un rapport entre eux. Selon Gardner &amp; </w:t>
      </w:r>
      <w:proofErr w:type="spellStart"/>
      <w:r w:rsidRPr="007F3DED">
        <w:rPr>
          <w:rFonts w:asciiTheme="majorBidi" w:hAnsiTheme="majorBidi" w:cstheme="majorBidi"/>
          <w:sz w:val="28"/>
          <w:szCs w:val="28"/>
          <w:lang w:val="fr-FR"/>
        </w:rPr>
        <w:t>MacIntyre</w:t>
      </w:r>
      <w:proofErr w:type="spellEnd"/>
      <w:r w:rsidRPr="007F3DED">
        <w:rPr>
          <w:rFonts w:asciiTheme="majorBidi" w:hAnsiTheme="majorBidi" w:cstheme="majorBidi"/>
          <w:sz w:val="28"/>
          <w:szCs w:val="28"/>
          <w:lang w:val="fr-FR"/>
        </w:rPr>
        <w:t xml:space="preserve"> (1992, p. 213), l’intelligence est liée à la facilité et à la vitesse avec laquelle un apprenant comprend, tandis que l’aptitude est liée au temps nécessaire pour apprendre ou pour développer une compétence. Le style cognitif est un mode de fonctionnement cohérent caractéristique dont l’individu fait preuve dans ses activités perceptuelles et intellectuelles. </w:t>
      </w:r>
      <w:r w:rsidRPr="007F3DED">
        <w:rPr>
          <w:rFonts w:asciiTheme="majorBidi" w:hAnsiTheme="majorBidi" w:cstheme="majorBidi"/>
          <w:sz w:val="28"/>
          <w:szCs w:val="28"/>
        </w:rPr>
        <w:t xml:space="preserve">Chinien &amp; </w:t>
      </w:r>
      <w:proofErr w:type="spellStart"/>
      <w:r w:rsidRPr="007F3DED">
        <w:rPr>
          <w:rFonts w:asciiTheme="majorBidi" w:hAnsiTheme="majorBidi" w:cstheme="majorBidi"/>
          <w:sz w:val="28"/>
          <w:szCs w:val="28"/>
        </w:rPr>
        <w:t>Boutin</w:t>
      </w:r>
      <w:proofErr w:type="spellEnd"/>
      <w:r w:rsidRPr="007F3DED">
        <w:rPr>
          <w:rFonts w:asciiTheme="majorBidi" w:hAnsiTheme="majorBidi" w:cstheme="majorBidi"/>
          <w:sz w:val="28"/>
          <w:szCs w:val="28"/>
        </w:rPr>
        <w:t xml:space="preserve"> (1993, p. 303) </w:t>
      </w:r>
      <w:proofErr w:type="spellStart"/>
      <w:r w:rsidRPr="007F3DED">
        <w:rPr>
          <w:rFonts w:asciiTheme="majorBidi" w:hAnsiTheme="majorBidi" w:cstheme="majorBidi"/>
          <w:sz w:val="28"/>
          <w:szCs w:val="28"/>
        </w:rPr>
        <w:t>en</w:t>
      </w:r>
      <w:proofErr w:type="spellEnd"/>
      <w:r w:rsidRPr="007F3DED">
        <w:rPr>
          <w:rFonts w:asciiTheme="majorBidi" w:hAnsiTheme="majorBidi" w:cstheme="majorBidi"/>
          <w:sz w:val="28"/>
          <w:szCs w:val="28"/>
        </w:rPr>
        <w:t xml:space="preserve"> </w:t>
      </w:r>
      <w:proofErr w:type="spellStart"/>
      <w:r w:rsidRPr="007F3DED">
        <w:rPr>
          <w:rFonts w:asciiTheme="majorBidi" w:hAnsiTheme="majorBidi" w:cstheme="majorBidi"/>
          <w:sz w:val="28"/>
          <w:szCs w:val="28"/>
        </w:rPr>
        <w:t>donnent</w:t>
      </w:r>
      <w:proofErr w:type="spellEnd"/>
      <w:r w:rsidRPr="007F3DED">
        <w:rPr>
          <w:rFonts w:asciiTheme="majorBidi" w:hAnsiTheme="majorBidi" w:cstheme="majorBidi"/>
          <w:sz w:val="28"/>
          <w:szCs w:val="28"/>
        </w:rPr>
        <w:t xml:space="preserve"> la </w:t>
      </w:r>
      <w:proofErr w:type="spellStart"/>
      <w:r w:rsidRPr="007F3DED">
        <w:rPr>
          <w:rFonts w:asciiTheme="majorBidi" w:hAnsiTheme="majorBidi" w:cstheme="majorBidi"/>
          <w:sz w:val="28"/>
          <w:szCs w:val="28"/>
        </w:rPr>
        <w:t>définition</w:t>
      </w:r>
      <w:proofErr w:type="spellEnd"/>
      <w:r w:rsidRPr="007F3DED">
        <w:rPr>
          <w:rFonts w:asciiTheme="majorBidi" w:hAnsiTheme="majorBidi" w:cstheme="majorBidi"/>
          <w:sz w:val="28"/>
          <w:szCs w:val="28"/>
        </w:rPr>
        <w:t xml:space="preserve"> </w:t>
      </w:r>
      <w:proofErr w:type="spellStart"/>
      <w:r w:rsidRPr="007F3DED">
        <w:rPr>
          <w:rFonts w:asciiTheme="majorBidi" w:hAnsiTheme="majorBidi" w:cstheme="majorBidi"/>
          <w:sz w:val="28"/>
          <w:szCs w:val="28"/>
        </w:rPr>
        <w:t>suivante</w:t>
      </w:r>
      <w:proofErr w:type="spellEnd"/>
      <w:r w:rsidRPr="007F3DED">
        <w:rPr>
          <w:rFonts w:asciiTheme="majorBidi" w:hAnsiTheme="majorBidi" w:cstheme="majorBidi"/>
          <w:sz w:val="28"/>
          <w:szCs w:val="28"/>
        </w:rPr>
        <w:t xml:space="preserve">: Cognitive styles are the information processing habits representing the learners’ typical mode of perceiving, thinking, problem solving and remembering. </w:t>
      </w:r>
      <w:r w:rsidRPr="007F3DED">
        <w:rPr>
          <w:rFonts w:asciiTheme="majorBidi" w:hAnsiTheme="majorBidi" w:cstheme="majorBidi"/>
          <w:sz w:val="28"/>
          <w:szCs w:val="28"/>
          <w:lang w:val="fr-FR"/>
        </w:rPr>
        <w:t>Certains chercheurs décomposent le style cognitif en style d’apprentissage</w:t>
      </w:r>
      <w:proofErr w:type="gramStart"/>
      <w:r w:rsidRPr="007F3DED">
        <w:rPr>
          <w:rFonts w:asciiTheme="majorBidi" w:hAnsiTheme="majorBidi" w:cstheme="majorBidi"/>
          <w:sz w:val="28"/>
          <w:szCs w:val="28"/>
          <w:lang w:val="fr-FR"/>
        </w:rPr>
        <w:t>1 ,</w:t>
      </w:r>
      <w:proofErr w:type="gramEnd"/>
      <w:r w:rsidRPr="007F3DED">
        <w:rPr>
          <w:rFonts w:asciiTheme="majorBidi" w:hAnsiTheme="majorBidi" w:cstheme="majorBidi"/>
          <w:sz w:val="28"/>
          <w:szCs w:val="28"/>
          <w:lang w:val="fr-FR"/>
        </w:rPr>
        <w:t xml:space="preserve"> qui est le mode préféré de perception et d’intégration des données (par exemple auditif, visuel ou tactile) et attitude cognitive (analytique/globalisante,</w:t>
      </w:r>
      <w:r w:rsidRPr="007F3DED">
        <w:rPr>
          <w:lang w:val="fr-FR"/>
        </w:rPr>
        <w:t xml:space="preserve"> </w:t>
      </w:r>
      <w:r w:rsidRPr="007F3DED">
        <w:rPr>
          <w:rFonts w:asciiTheme="majorBidi" w:hAnsiTheme="majorBidi" w:cstheme="majorBidi"/>
          <w:sz w:val="28"/>
          <w:szCs w:val="28"/>
          <w:lang w:val="fr-FR"/>
        </w:rPr>
        <w:t xml:space="preserve">dépendant/indépendant du </w:t>
      </w:r>
      <w:r w:rsidRPr="007F3DED">
        <w:rPr>
          <w:rFonts w:asciiTheme="majorBidi" w:hAnsiTheme="majorBidi" w:cstheme="majorBidi"/>
          <w:sz w:val="28"/>
          <w:szCs w:val="28"/>
          <w:lang w:val="fr-FR"/>
        </w:rPr>
        <w:lastRenderedPageBreak/>
        <w:t xml:space="preserve">champ, etc.). Un travail intéressant a été fait par </w:t>
      </w:r>
      <w:proofErr w:type="spellStart"/>
      <w:r w:rsidRPr="007F3DED">
        <w:rPr>
          <w:rFonts w:asciiTheme="majorBidi" w:hAnsiTheme="majorBidi" w:cstheme="majorBidi"/>
          <w:sz w:val="28"/>
          <w:szCs w:val="28"/>
          <w:lang w:val="fr-FR"/>
        </w:rPr>
        <w:t>Bonham</w:t>
      </w:r>
      <w:proofErr w:type="spellEnd"/>
      <w:r w:rsidRPr="007F3DED">
        <w:rPr>
          <w:rFonts w:asciiTheme="majorBidi" w:hAnsiTheme="majorBidi" w:cstheme="majorBidi"/>
          <w:sz w:val="28"/>
          <w:szCs w:val="28"/>
          <w:lang w:val="fr-FR"/>
        </w:rPr>
        <w:t xml:space="preserve"> &amp; </w:t>
      </w:r>
      <w:proofErr w:type="spellStart"/>
      <w:r w:rsidRPr="007F3DED">
        <w:rPr>
          <w:rFonts w:asciiTheme="majorBidi" w:hAnsiTheme="majorBidi" w:cstheme="majorBidi"/>
          <w:sz w:val="28"/>
          <w:szCs w:val="28"/>
          <w:lang w:val="fr-FR"/>
        </w:rPr>
        <w:t>Boylan</w:t>
      </w:r>
      <w:proofErr w:type="spellEnd"/>
      <w:r w:rsidRPr="007F3DED">
        <w:rPr>
          <w:rFonts w:asciiTheme="majorBidi" w:hAnsiTheme="majorBidi" w:cstheme="majorBidi"/>
          <w:sz w:val="28"/>
          <w:szCs w:val="28"/>
          <w:lang w:val="fr-FR"/>
        </w:rPr>
        <w:t xml:space="preserve"> (1993) qui analysent le style d’apprentissage selon un schéma établi par Curry (1983) pour qui ce terme est générique et comprend trois niveaux de comportement, distincts mais hiérarchisés: la gestion mentale préférentielle, le mode de traitement de l’information et le style pédagogique</w:t>
      </w:r>
      <w:r>
        <w:rPr>
          <w:rFonts w:asciiTheme="majorBidi" w:hAnsiTheme="majorBidi" w:cstheme="majorBidi"/>
          <w:sz w:val="28"/>
          <w:szCs w:val="28"/>
          <w:lang w:val="fr-FR"/>
        </w:rPr>
        <w:t>.</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sz w:val="28"/>
          <w:szCs w:val="28"/>
          <w:lang w:val="fr-FR"/>
        </w:rPr>
        <w:t>Les stratégies d'apprentissage se divisent généralement en trois catégories principales : les stratégies cognitives, métacognitives et socio-affectives. Chacune joue un rôle distinct dans le processus d'apprentissage.</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b/>
          <w:bCs/>
          <w:sz w:val="28"/>
          <w:szCs w:val="28"/>
          <w:lang w:val="fr-FR"/>
        </w:rPr>
        <w:t>1. Stratégies cognitives :</w:t>
      </w:r>
      <w:r w:rsidRPr="00BE07AD">
        <w:rPr>
          <w:rFonts w:asciiTheme="majorBidi" w:hAnsiTheme="majorBidi" w:cstheme="majorBidi"/>
          <w:sz w:val="28"/>
          <w:szCs w:val="28"/>
          <w:lang w:val="fr-FR"/>
        </w:rPr>
        <w:t xml:space="preserve"> Ces stratégies concernent les techniques que l'apprenant utilise pour traiter l'information. Elles incluent des actions telles que la répétition, l'élaboration, l'organisation et la structuration de l'information. Par exemple, prendre des notes, résumer un texte ou créer des cartes conceptuelles sont des stratégies cognitives couramment employées.</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b/>
          <w:bCs/>
          <w:sz w:val="28"/>
          <w:szCs w:val="28"/>
          <w:lang w:val="fr-FR"/>
        </w:rPr>
        <w:t>2. Stratégies métacognitives :</w:t>
      </w:r>
      <w:r w:rsidRPr="00BE07AD">
        <w:rPr>
          <w:rFonts w:asciiTheme="majorBidi" w:hAnsiTheme="majorBidi" w:cstheme="majorBidi"/>
          <w:sz w:val="28"/>
          <w:szCs w:val="28"/>
          <w:lang w:val="fr-FR"/>
        </w:rPr>
        <w:t xml:space="preserve"> Elles impliquent la réflexion sur son propre processus d'apprentissage. Cela comprend la planification de ses activités d'apprentissage, le suivi de sa compréhension et l'évaluation de ses performances. Par exemple, se fixer des objectifs d'étude, surveiller sa compréhension pendant la lecture et s'autoévaluer après une tâche sont des stratégies métacognitives essentielles.</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b/>
          <w:bCs/>
          <w:sz w:val="28"/>
          <w:szCs w:val="28"/>
          <w:lang w:val="fr-FR"/>
        </w:rPr>
        <w:t>3. Stratégies socio-affectives :</w:t>
      </w:r>
      <w:r w:rsidRPr="00BE07AD">
        <w:rPr>
          <w:rFonts w:asciiTheme="majorBidi" w:hAnsiTheme="majorBidi" w:cstheme="majorBidi"/>
          <w:sz w:val="28"/>
          <w:szCs w:val="28"/>
          <w:lang w:val="fr-FR"/>
        </w:rPr>
        <w:t xml:space="preserve"> Ces stratégies englobent les interactions sociales et la gestion des émotions liées à l'apprentissage. Elles incluent la coopération avec les pairs, la recherche de clarification auprès de l'enseignant et la gestion de l'anxiété. Par exemple, travailler en groupe pour résoudre un problème ou utiliser des techniques de relaxation pour réduire le stress sont des stratégies socio-affectives importantes.</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sz w:val="28"/>
          <w:szCs w:val="28"/>
          <w:lang w:val="fr-FR"/>
        </w:rPr>
        <w:t>Pour une représentation visuelle de ces stratégies, vous pouvez consulter le schéma proposé dans l'article "Les stratégies d’apprentissage : u</w:t>
      </w:r>
      <w:r>
        <w:rPr>
          <w:rFonts w:asciiTheme="majorBidi" w:hAnsiTheme="majorBidi" w:cstheme="majorBidi"/>
          <w:sz w:val="28"/>
          <w:szCs w:val="28"/>
          <w:lang w:val="fr-FR"/>
        </w:rPr>
        <w:t>n cadre de référence simplifié"</w:t>
      </w:r>
    </w:p>
    <w:p w:rsidR="00BE07AD" w:rsidRPr="00BE07A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sz w:val="28"/>
          <w:szCs w:val="28"/>
          <w:lang w:val="fr-FR"/>
        </w:rPr>
        <w:t>. Ce schéma offre une vue d'ensemble des différentes stratégies et de leurs interrelations, facilitant ainsi la compréhension de leur application dans le processus d'apprentissage.</w:t>
      </w:r>
    </w:p>
    <w:p w:rsidR="007F3DED" w:rsidRPr="007F3DED" w:rsidRDefault="00BE07AD" w:rsidP="00BE07AD">
      <w:pPr>
        <w:spacing w:line="360" w:lineRule="auto"/>
        <w:ind w:firstLine="720"/>
        <w:jc w:val="both"/>
        <w:rPr>
          <w:rFonts w:asciiTheme="majorBidi" w:hAnsiTheme="majorBidi" w:cstheme="majorBidi"/>
          <w:sz w:val="28"/>
          <w:szCs w:val="28"/>
          <w:lang w:val="fr-FR"/>
        </w:rPr>
      </w:pPr>
      <w:r w:rsidRPr="00BE07AD">
        <w:rPr>
          <w:rFonts w:asciiTheme="majorBidi" w:hAnsiTheme="majorBidi" w:cstheme="majorBidi"/>
          <w:sz w:val="28"/>
          <w:szCs w:val="28"/>
          <w:lang w:val="fr-FR"/>
        </w:rPr>
        <w:t>En intégrant ces trois types de stratégies, les apprenants peuvent améliorer leur efficacité et leur autonomie dans leurs études.</w:t>
      </w:r>
      <w:bookmarkStart w:id="0" w:name="_GoBack"/>
      <w:bookmarkEnd w:id="0"/>
    </w:p>
    <w:sectPr w:rsidR="007F3DED" w:rsidRPr="007F3DED" w:rsidSect="007F3DED">
      <w:pgSz w:w="12240" w:h="15840"/>
      <w:pgMar w:top="709" w:right="61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ED"/>
    <w:rsid w:val="007F3DED"/>
    <w:rsid w:val="00820AA1"/>
    <w:rsid w:val="00BE07AD"/>
    <w:rsid w:val="00D91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696"/>
  <w15:chartTrackingRefBased/>
  <w15:docId w15:val="{D1156F5C-5BE0-435E-9346-CBCE2AE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1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754</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2024-12-14T14:47:00Z</dcterms:created>
  <dcterms:modified xsi:type="dcterms:W3CDTF">2024-12-14T15:08:00Z</dcterms:modified>
</cp:coreProperties>
</file>