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74" w:rsidRPr="00CB75E4" w:rsidRDefault="00B40874" w:rsidP="00B40874">
      <w:pPr>
        <w:pStyle w:val="Titre1"/>
        <w:spacing w:after="200"/>
        <w:rPr>
          <w:rtl/>
        </w:rPr>
      </w:pPr>
      <w:bookmarkStart w:id="0" w:name="_Toc525240626"/>
      <w:bookmarkStart w:id="1" w:name="_Toc532927721"/>
      <w:r w:rsidRPr="00CB75E4">
        <w:rPr>
          <w:rFonts w:hint="cs"/>
          <w:rtl/>
        </w:rPr>
        <w:t>المحور الثاني : القانون الإقتصادي العام</w:t>
      </w:r>
      <w:bookmarkEnd w:id="0"/>
      <w:bookmarkEnd w:id="1"/>
    </w:p>
    <w:p w:rsidR="00B40874" w:rsidRPr="002830B8" w:rsidRDefault="00B40874" w:rsidP="00B40874">
      <w:pPr>
        <w:pStyle w:val="TM2"/>
        <w:spacing w:after="200"/>
        <w:rPr>
          <w:noProof/>
          <w:rtl/>
          <w:lang w:eastAsia="fr-FR"/>
        </w:rPr>
      </w:pPr>
      <w:r w:rsidRPr="00CB75E4">
        <w:rPr>
          <w:rFonts w:hint="cs"/>
          <w:rtl/>
        </w:rPr>
        <w:t xml:space="preserve">إن التطورات التي شهدها العالم مؤخرا بسبب العولمة و غيرها ، أثرت على إقتصاديات الدول ، و نتيجة لهذا التأثر كان لزاما على الدول إنشاء منظومة قانونية جديدة تتماشى معه ، و طبعا وجد القانون الإقتصادي العام كإطار قانوني ينظم تدخل الدولة و يواكب تطورات الإقتصادية ، و سنعالج هذا المحور في ثلاث مباحث كالتالي ، المبحث الأول : نظرة حول القانون الإقتصادي العام ، </w:t>
      </w:r>
      <w:hyperlink w:anchor="_Toc525240630" w:history="1">
        <w:r w:rsidRPr="00CB75E4">
          <w:rPr>
            <w:rStyle w:val="Lienhypertexte"/>
            <w:rFonts w:hint="eastAsia"/>
            <w:noProof/>
            <w:color w:val="000000" w:themeColor="text1"/>
            <w:rtl/>
          </w:rPr>
          <w:t>المبحث</w:t>
        </w:r>
        <w:r w:rsidRPr="00CB75E4">
          <w:rPr>
            <w:rStyle w:val="Lienhypertexte"/>
            <w:noProof/>
            <w:color w:val="000000" w:themeColor="text1"/>
            <w:rtl/>
          </w:rPr>
          <w:t xml:space="preserve"> </w:t>
        </w:r>
        <w:r w:rsidRPr="00CB75E4">
          <w:rPr>
            <w:rStyle w:val="Lienhypertexte"/>
            <w:rFonts w:hint="eastAsia"/>
            <w:noProof/>
            <w:color w:val="000000" w:themeColor="text1"/>
            <w:rtl/>
          </w:rPr>
          <w:t>الثاني</w:t>
        </w:r>
        <w:r w:rsidRPr="00CB75E4">
          <w:rPr>
            <w:rStyle w:val="Lienhypertexte"/>
            <w:noProof/>
            <w:color w:val="000000" w:themeColor="text1"/>
            <w:rtl/>
          </w:rPr>
          <w:t xml:space="preserve"> : </w:t>
        </w:r>
        <w:r w:rsidRPr="00CB75E4">
          <w:rPr>
            <w:rStyle w:val="Lienhypertexte"/>
            <w:rFonts w:hint="eastAsia"/>
            <w:noProof/>
            <w:color w:val="000000" w:themeColor="text1"/>
            <w:rtl/>
          </w:rPr>
          <w:t>مصادر</w:t>
        </w:r>
        <w:r w:rsidRPr="00CB75E4">
          <w:rPr>
            <w:rStyle w:val="Lienhypertexte"/>
            <w:noProof/>
            <w:color w:val="000000" w:themeColor="text1"/>
            <w:rtl/>
          </w:rPr>
          <w:t xml:space="preserve"> </w:t>
        </w:r>
        <w:r w:rsidRPr="00CB75E4">
          <w:rPr>
            <w:rStyle w:val="Lienhypertexte"/>
            <w:rFonts w:hint="eastAsia"/>
            <w:noProof/>
            <w:color w:val="000000" w:themeColor="text1"/>
            <w:rtl/>
          </w:rPr>
          <w:t>و</w:t>
        </w:r>
        <w:r w:rsidRPr="00CB75E4">
          <w:rPr>
            <w:rStyle w:val="Lienhypertexte"/>
            <w:noProof/>
            <w:color w:val="000000" w:themeColor="text1"/>
            <w:rtl/>
          </w:rPr>
          <w:t xml:space="preserve"> </w:t>
        </w:r>
        <w:r w:rsidRPr="00CB75E4">
          <w:rPr>
            <w:rStyle w:val="Lienhypertexte"/>
            <w:rFonts w:hint="eastAsia"/>
            <w:noProof/>
            <w:color w:val="000000" w:themeColor="text1"/>
            <w:rtl/>
          </w:rPr>
          <w:t>مبادئ</w:t>
        </w:r>
        <w:r w:rsidRPr="00CB75E4">
          <w:rPr>
            <w:rStyle w:val="Lienhypertexte"/>
            <w:noProof/>
            <w:color w:val="000000" w:themeColor="text1"/>
            <w:rtl/>
          </w:rPr>
          <w:t xml:space="preserve"> </w:t>
        </w:r>
        <w:r w:rsidRPr="00CB75E4">
          <w:rPr>
            <w:rStyle w:val="Lienhypertexte"/>
            <w:rFonts w:hint="eastAsia"/>
            <w:noProof/>
            <w:color w:val="000000" w:themeColor="text1"/>
            <w:rtl/>
          </w:rPr>
          <w:t>القانون</w:t>
        </w:r>
        <w:r w:rsidRPr="00CB75E4">
          <w:rPr>
            <w:rStyle w:val="Lienhypertexte"/>
            <w:noProof/>
            <w:color w:val="000000" w:themeColor="text1"/>
            <w:rtl/>
          </w:rPr>
          <w:t xml:space="preserve"> </w:t>
        </w:r>
        <w:r w:rsidRPr="00CB75E4">
          <w:rPr>
            <w:rStyle w:val="Lienhypertexte"/>
            <w:rFonts w:hint="eastAsia"/>
            <w:noProof/>
            <w:color w:val="000000" w:themeColor="text1"/>
            <w:rtl/>
          </w:rPr>
          <w:t>الإقتصادي</w:t>
        </w:r>
        <w:r w:rsidRPr="00CB75E4">
          <w:rPr>
            <w:rStyle w:val="Lienhypertexte"/>
            <w:noProof/>
            <w:color w:val="000000" w:themeColor="text1"/>
            <w:rtl/>
          </w:rPr>
          <w:t xml:space="preserve"> </w:t>
        </w:r>
        <w:r w:rsidRPr="00CB75E4">
          <w:rPr>
            <w:rStyle w:val="Lienhypertexte"/>
            <w:rFonts w:hint="eastAsia"/>
            <w:noProof/>
            <w:color w:val="000000" w:themeColor="text1"/>
            <w:rtl/>
          </w:rPr>
          <w:t>العام</w:t>
        </w:r>
      </w:hyperlink>
      <w:r w:rsidRPr="00CB75E4">
        <w:rPr>
          <w:rFonts w:hint="cs"/>
          <w:rtl/>
        </w:rPr>
        <w:t xml:space="preserve"> ، المبحث الثالث : مجالات القانون الإقتصادي العام .</w:t>
      </w:r>
    </w:p>
    <w:p w:rsidR="00B40874" w:rsidRPr="00CB75E4" w:rsidRDefault="00B40874" w:rsidP="00B40874">
      <w:pPr>
        <w:pStyle w:val="Titre2"/>
        <w:spacing w:after="200"/>
        <w:rPr>
          <w:rtl/>
        </w:rPr>
      </w:pPr>
      <w:bookmarkStart w:id="2" w:name="_Toc525240627"/>
      <w:bookmarkStart w:id="3" w:name="_Toc532927722"/>
      <w:r w:rsidRPr="00CB75E4">
        <w:rPr>
          <w:rFonts w:hint="cs"/>
          <w:rtl/>
        </w:rPr>
        <w:t>المبحث الأول : نظرة حول القانون الإقتصادي العام</w:t>
      </w:r>
      <w:bookmarkEnd w:id="2"/>
      <w:bookmarkEnd w:id="3"/>
    </w:p>
    <w:p w:rsidR="00B40874" w:rsidRPr="00337E85" w:rsidRDefault="00B40874" w:rsidP="00B40874">
      <w:pPr>
        <w:bidi/>
        <w:ind w:left="565" w:firstLine="567"/>
        <w:jc w:val="both"/>
        <w:rPr>
          <w:rFonts w:cs="Simplified Arabic"/>
          <w:sz w:val="32"/>
          <w:szCs w:val="32"/>
          <w:rtl/>
        </w:rPr>
      </w:pPr>
      <w:bookmarkStart w:id="4" w:name="_Toc532919380"/>
      <w:r w:rsidRPr="00337E85">
        <w:rPr>
          <w:rFonts w:cs="Simplified Arabic" w:hint="cs"/>
          <w:sz w:val="32"/>
          <w:szCs w:val="32"/>
          <w:rtl/>
        </w:rPr>
        <w:t>سنتطرق في هذا المبحث للإطار المفاهيمي للقانون الإقتصادي العام ، و ذلك بتقسيم هذا المبحث إلى مطلبين ، المطلب الأول : مفهوم القانون الإقتصادي العام المطلب الثاني : خصوصية و محتوى القانون الإقتصادي العام.</w:t>
      </w:r>
      <w:bookmarkEnd w:id="4"/>
    </w:p>
    <w:p w:rsidR="00B40874" w:rsidRPr="00337E85" w:rsidRDefault="00B40874" w:rsidP="00B40874">
      <w:pPr>
        <w:pStyle w:val="Titre3"/>
        <w:spacing w:after="200"/>
        <w:rPr>
          <w:rtl/>
        </w:rPr>
      </w:pPr>
      <w:bookmarkStart w:id="5" w:name="_Toc525240628"/>
      <w:bookmarkStart w:id="6" w:name="_Toc532927723"/>
      <w:r w:rsidRPr="00337E85">
        <w:rPr>
          <w:rFonts w:hint="cs"/>
          <w:rtl/>
        </w:rPr>
        <w:t>المطلب الأول : مفهوم القانون الإقتصادي العام</w:t>
      </w:r>
      <w:bookmarkEnd w:id="5"/>
      <w:bookmarkEnd w:id="6"/>
    </w:p>
    <w:p w:rsidR="00B40874" w:rsidRDefault="00B40874" w:rsidP="00B40874">
      <w:pPr>
        <w:pStyle w:val="Paragraphedeliste"/>
        <w:bidi/>
        <w:ind w:left="565" w:firstLine="567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14FD6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يعتبرالقانون الإقتصادي العام شكل من أشكال تطور مفهوم تدخل الدولة في إطار قانوني منظم ، و الذي سنتعرف عليه بهذا المطلب في فرعين ، الفرع الأول : تعريف القانون الإقتصادي العام</w:t>
      </w:r>
      <w:r w:rsidRPr="00514FD6">
        <w:rPr>
          <w:rFonts w:eastAsia="Times New Roman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 xml:space="preserve"> ، الفرع الثاني : تطور فكرة القانون الإقتصادي العام</w:t>
      </w:r>
      <w:r>
        <w:rPr>
          <w:rFonts w:cs="Simplified Arabic" w:hint="cs"/>
          <w:color w:val="000000" w:themeColor="text1"/>
          <w:sz w:val="32"/>
          <w:szCs w:val="32"/>
          <w:rtl/>
          <w:lang w:bidi="ar-DZ"/>
        </w:rPr>
        <w:t>.</w:t>
      </w:r>
    </w:p>
    <w:p w:rsidR="00B40874" w:rsidRDefault="00B40874" w:rsidP="00B40874">
      <w:pPr>
        <w:pStyle w:val="Paragraphedeliste"/>
        <w:bidi/>
        <w:ind w:left="565" w:firstLine="567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</w:p>
    <w:p w:rsidR="00B40874" w:rsidRPr="00CD1FE9" w:rsidRDefault="00B40874" w:rsidP="00B40874">
      <w:pPr>
        <w:pStyle w:val="Titre4"/>
        <w:rPr>
          <w:lang w:bidi="ar-DZ"/>
        </w:rPr>
      </w:pPr>
      <w:r w:rsidRPr="00CD1FE9">
        <w:rPr>
          <w:rFonts w:hint="cs"/>
          <w:rtl/>
          <w:lang w:bidi="ar-DZ"/>
        </w:rPr>
        <w:lastRenderedPageBreak/>
        <w:t>الفرع الاول : تعريف القانون الإقتصادي العام</w:t>
      </w:r>
    </w:p>
    <w:p w:rsidR="00B40874" w:rsidRPr="005A4C3C" w:rsidRDefault="00B40874" w:rsidP="00B40874">
      <w:pPr>
        <w:bidi/>
        <w:ind w:left="423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     نظرا لحداثة أسباب ظهور القانون الإقتصادي العام و تحول الدولة نحو ضبط تدخلها في النشاط الإقتصادي ،الذي صاحبه إنشاء مؤسسات إقتصادية لفرض سيطرة الدولة على إقتصادها الوطني ، و نظرا لهذه التطورات كان هناك محاولات تعريفه إختلفت في إيجاد مفهوم دقيق لهذا القانون ، نذكر منها :</w:t>
      </w:r>
    </w:p>
    <w:p w:rsidR="00B40874" w:rsidRPr="005A4C3C" w:rsidRDefault="00B40874" w:rsidP="00B40874">
      <w:pPr>
        <w:bidi/>
        <w:spacing w:after="0"/>
        <w:ind w:left="423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    في بادئ الأمر يمكن أن نذكر نظرتهم للقانون الإقتصادي  ، حيث إقترح الفقيه فارجي تعريفا للقانون الإقتصادي و هو قانون تنظيم و التنمية الإقتصادية سواء كان ذلك من فعل الدولة أو من فعل السلطة الخاصة أو باتفاق الإثنين ، بمعنى أخر يعد القانون الأإقتصادي في تصور فارجي ، قانون التركيز الإقتصادي و قانون تدخل الدولة في الإقتصاد</w:t>
      </w:r>
      <w:r w:rsidRPr="005A4C3C">
        <w:rPr>
          <w:rStyle w:val="Appelnotedebasdep"/>
          <w:rFonts w:cs="Simplified Arabic"/>
          <w:color w:val="000000" w:themeColor="text1"/>
          <w:sz w:val="32"/>
          <w:szCs w:val="32"/>
          <w:rtl/>
          <w:lang w:bidi="ar-DZ"/>
        </w:rPr>
        <w:footnoteReference w:id="2"/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. </w:t>
      </w:r>
    </w:p>
    <w:p w:rsidR="00B40874" w:rsidRPr="005A4C3C" w:rsidRDefault="00B40874" w:rsidP="00B40874">
      <w:pPr>
        <w:bidi/>
        <w:spacing w:after="0"/>
        <w:ind w:left="423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     و عليه يمكن القول ظهور بوادر مفاهيم للقانون الإقتصادي العام من خلال هذه النظرة التي تتحدث عن تدخل </w:t>
      </w:r>
      <w:r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الدولة من خلال سلطات مؤسساتها ،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 من هنا يمكن أن نذكر بعض التعريفات التي حددت مفهوم القانون الإقتصادي كلا حسب نظرته .</w:t>
      </w:r>
    </w:p>
    <w:p w:rsidR="00B40874" w:rsidRPr="005A4C3C" w:rsidRDefault="00B40874" w:rsidP="00B40874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="Simplified Arabic"/>
          <w:color w:val="000000" w:themeColor="text1"/>
          <w:sz w:val="32"/>
          <w:szCs w:val="32"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القانون الإقتصادي العام هو القانون الذي يطبق على تدخل الأشخاص العامة في الإقتصاد أو التدخل العمومي في المسائل الإقتصادية. و قد عرفه البعض بأنه قانون مستقل يبتغي تنظيم تدخل الأشخاص العامة في الإقتصاد و التأثير على الفاعلين الإقتصاديين عاميين كاننوا أو خواص و أنه كذلك تعبير عن الإرادة في توجيه السوق ، من طبيعته الحث و له بعد إستشرافي .</w:t>
      </w:r>
    </w:p>
    <w:p w:rsidR="00B40874" w:rsidRPr="005A4C3C" w:rsidRDefault="00B40874" w:rsidP="00B40874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أما الفقيه </w:t>
      </w:r>
      <w:r w:rsidRPr="005A4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linotte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فيرى أن القانون الإقتصادي العام يتعلق بوضع سياسة إقتصادية للأشخاص الأإدارية بواسطة القانون</w:t>
      </w:r>
      <w:r w:rsidRPr="005A4C3C">
        <w:rPr>
          <w:rStyle w:val="Appelnotedebasdep"/>
          <w:rFonts w:cs="Simplified Arabic"/>
          <w:color w:val="000000" w:themeColor="text1"/>
          <w:sz w:val="32"/>
          <w:szCs w:val="32"/>
          <w:rtl/>
          <w:lang w:bidi="ar-DZ"/>
        </w:rPr>
        <w:footnoteReference w:id="3"/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.</w:t>
      </w:r>
    </w:p>
    <w:p w:rsidR="00B40874" w:rsidRPr="005A4C3C" w:rsidRDefault="00B40874" w:rsidP="00B40874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="Simplified Arabic"/>
          <w:color w:val="000000" w:themeColor="text1"/>
          <w:sz w:val="32"/>
          <w:szCs w:val="32"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lastRenderedPageBreak/>
        <w:t>و هو قانون تدخل الدولة السلطات العامة في الحياة الإقتصادية ، و هو مجموع القواعد التي تسعى في زمن معين ، و في مجتمع معين ، إلى ضما</w:t>
      </w:r>
      <w:r>
        <w:rPr>
          <w:rFonts w:cs="Simplified Arabic" w:hint="cs"/>
          <w:color w:val="000000" w:themeColor="text1"/>
          <w:sz w:val="32"/>
          <w:szCs w:val="32"/>
          <w:rtl/>
          <w:lang w:bidi="ar-DZ"/>
        </w:rPr>
        <w:t>ن التوازن بين مصالح الفاعلين ال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إقتصاديين إن كانوا من القانون العام أو من القانون القانون الخاص ، أو المصلحة الإقتصادية العامة</w:t>
      </w:r>
      <w:r w:rsidRPr="005A4C3C">
        <w:rPr>
          <w:rStyle w:val="Appelnotedebasdep"/>
          <w:rFonts w:cs="Simplified Arabic"/>
          <w:color w:val="000000" w:themeColor="text1"/>
          <w:sz w:val="32"/>
          <w:szCs w:val="32"/>
          <w:rtl/>
          <w:lang w:bidi="ar-DZ"/>
        </w:rPr>
        <w:footnoteReference w:id="4"/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.</w:t>
      </w:r>
    </w:p>
    <w:p w:rsidR="00B40874" w:rsidRPr="005A7CB1" w:rsidRDefault="00B40874" w:rsidP="00B40874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="Simplified Arabic"/>
          <w:color w:val="000000" w:themeColor="text1"/>
          <w:sz w:val="32"/>
          <w:szCs w:val="32"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القانون الإقتصادي العام ما هو في الواقع إلا سوى الميكانيزمات القانونية التي تحاول الأشخاص العامة تغيير التصرف الطبيعي للفاعلين الإقتصاديين بواسطتها ، </w:t>
      </w:r>
      <w:r w:rsidRPr="005A7CB1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 يعرف أيضا بتسمية قانون السياسة الإقتصادية</w:t>
      </w:r>
      <w:r w:rsidRPr="005A4C3C">
        <w:rPr>
          <w:rStyle w:val="Appelnotedebasdep"/>
          <w:rFonts w:cs="Simplified Arabic"/>
          <w:color w:val="000000" w:themeColor="text1"/>
          <w:sz w:val="32"/>
          <w:szCs w:val="32"/>
          <w:rtl/>
          <w:lang w:bidi="ar-DZ"/>
        </w:rPr>
        <w:footnoteReference w:id="5"/>
      </w:r>
      <w:r w:rsidRPr="005A7CB1">
        <w:rPr>
          <w:rFonts w:cs="Simplified Arabic" w:hint="cs"/>
          <w:color w:val="000000" w:themeColor="text1"/>
          <w:sz w:val="32"/>
          <w:szCs w:val="32"/>
          <w:rtl/>
          <w:lang w:bidi="ar-DZ"/>
        </w:rPr>
        <w:t>.</w:t>
      </w:r>
    </w:p>
    <w:p w:rsidR="00B40874" w:rsidRPr="005A4C3C" w:rsidRDefault="00B40874" w:rsidP="00B40874">
      <w:pPr>
        <w:pStyle w:val="Paragraphedeliste"/>
        <w:numPr>
          <w:ilvl w:val="0"/>
          <w:numId w:val="1"/>
        </w:numPr>
        <w:bidi/>
        <w:spacing w:after="0"/>
        <w:jc w:val="both"/>
        <w:rPr>
          <w:rFonts w:cs="Simplified Arabic"/>
          <w:color w:val="000000" w:themeColor="text1"/>
          <w:sz w:val="32"/>
          <w:szCs w:val="32"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أما بالنسبة للفقيه ديديه لينوت فيعرف القانون الإقتصادي العام أنه قانون رسم و وضع سياسة إقتصادية للأشخاص الإدارية بواسطة القوانين ، أما الفقيه تروشيه فيعرف القانون الإقتصادي العام أنه قانون يشمل جميع القزواعد المطبقة على العلاقات التي تربط أشخاص قانونية و وحدات إقتصادية متى تدخلت السلطة العامة في هذه العلاقات، و نذكر أيضا تعريف الفقيه ديفولفي الذي يعرف هذا القانون أنه ذلك القانون المطبق على تدخلات الأشخاص العمومية في الإقتصاد و كيفية تنظيمها</w:t>
      </w:r>
      <w:r w:rsidRPr="005A4C3C">
        <w:rPr>
          <w:rStyle w:val="Appelnotedebasdep"/>
          <w:rFonts w:cs="Simplified Arabic"/>
          <w:color w:val="000000" w:themeColor="text1"/>
          <w:sz w:val="32"/>
          <w:szCs w:val="32"/>
          <w:rtl/>
          <w:lang w:bidi="ar-DZ"/>
        </w:rPr>
        <w:footnoteReference w:id="6"/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.</w:t>
      </w:r>
    </w:p>
    <w:p w:rsidR="00B40874" w:rsidRPr="005A4C3C" w:rsidRDefault="00B40874" w:rsidP="00B40874">
      <w:pPr>
        <w:pStyle w:val="Paragraphedeliste"/>
        <w:bidi/>
        <w:spacing w:after="0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  </w:t>
      </w:r>
      <w:r>
        <w:rPr>
          <w:rFonts w:cs="Simplified Arabic" w:hint="cs"/>
          <w:color w:val="000000" w:themeColor="text1"/>
          <w:sz w:val="32"/>
          <w:szCs w:val="32"/>
          <w:lang w:bidi="ar-DZ"/>
        </w:rPr>
        <w:sym w:font="Wingdings" w:char="F0DF"/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من خلال التعريفات التي جاء بها هؤولاء يمكن أن نستنتج بعض تعريفات للقانون الإقتصادي حسب الأسس التي يقوم عليها فيمكن القول أنه :</w:t>
      </w:r>
    </w:p>
    <w:p w:rsidR="00B40874" w:rsidRPr="005A4C3C" w:rsidRDefault="00B40874" w:rsidP="00B40874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12" w:lineRule="atLeast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lang w:eastAsia="fr-FR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>قانون تنظيم التنمية الإقتصادية بين الدولة و الشخص المعنوي أو بين الأشخاص المعنوية فيما بينها .</w:t>
      </w:r>
    </w:p>
    <w:p w:rsidR="00B40874" w:rsidRPr="005A4C3C" w:rsidRDefault="00B40874" w:rsidP="00B40874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12" w:lineRule="atLeast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lang w:eastAsia="fr-FR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rtl/>
          <w:lang w:eastAsia="fr-FR"/>
        </w:rPr>
        <w:t>هو ذلك القانون الذي توفر فيه الدولة مجموع التسهيلات للأشخاص العامة لممارسة الأنشطة الإقتصادية .</w:t>
      </w:r>
    </w:p>
    <w:p w:rsidR="00B40874" w:rsidRPr="008221F6" w:rsidRDefault="00B40874" w:rsidP="00B40874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12" w:lineRule="atLeast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lang w:eastAsia="fr-FR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 xml:space="preserve">هو ذلك القانون الذي تتدخل فيه السلطة العامة في الأنشطة الإقتصادية لضمان </w:t>
      </w:r>
    </w:p>
    <w:p w:rsidR="00B40874" w:rsidRPr="005A4C3C" w:rsidRDefault="00B40874" w:rsidP="00B40874">
      <w:pPr>
        <w:pStyle w:val="Paragraphedeliste"/>
        <w:shd w:val="clear" w:color="auto" w:fill="FFFFFF"/>
        <w:bidi/>
        <w:spacing w:after="0" w:line="312" w:lineRule="atLeast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rtl/>
          <w:lang w:eastAsia="fr-FR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lastRenderedPageBreak/>
        <w:t>التوازن بين المصالح الخاصة للأعوان الاقتصاديين (عامون وخواص) والمصلحة العامة .</w:t>
      </w: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423" w:firstLine="633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 xml:space="preserve">هو ذلك القانون الذي ينظم العلاقة بين هيأت الدولة و الأعوان الإقتصاديين في تطوير التنمية الإقتصادية . </w:t>
      </w: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423" w:firstLine="633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>لقد تطرقت هذه التعريفات إلى جوانب كثيرة يتميز بها القانون الإقتصادي العام و قد اغفلت خصوصية هذا القانون ، فهذا الأخير هو قانون جديد يستخدم اساليب و قواعد قانونية خاصة به و هكذا يصبح القانون الجديد عبارة إمتداد لقوانين قديمة تتعلق بالمجال الإقتصادي  .</w:t>
      </w:r>
    </w:p>
    <w:p w:rsidR="00B40874" w:rsidRPr="00CB75E4" w:rsidRDefault="00B40874" w:rsidP="00B40874">
      <w:pPr>
        <w:pStyle w:val="Titre4"/>
        <w:rPr>
          <w:bdr w:val="none" w:sz="0" w:space="0" w:color="auto" w:frame="1"/>
          <w:rtl/>
        </w:rPr>
      </w:pPr>
      <w:r w:rsidRPr="00CB75E4">
        <w:rPr>
          <w:rFonts w:hint="cs"/>
          <w:bdr w:val="none" w:sz="0" w:space="0" w:color="auto" w:frame="1"/>
          <w:rtl/>
        </w:rPr>
        <w:t>الفرع الثاني : تطور فكرة القانون الإقتصادي العام</w:t>
      </w: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firstLine="633"/>
        <w:jc w:val="center"/>
        <w:textAlignment w:val="baseline"/>
        <w:rPr>
          <w:rFonts w:ascii="Tahoma" w:eastAsia="Times New Roman" w:hAnsi="Tahoma" w:cs="Simplified Arabic"/>
          <w:b/>
          <w:bCs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565" w:firstLine="633"/>
        <w:jc w:val="both"/>
        <w:textAlignment w:val="baseline"/>
        <w:rPr>
          <w:rFonts w:ascii="Tahoma" w:eastAsia="Times New Roman" w:hAnsi="Tahoma" w:cs="Simplified Arabic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rtl/>
          <w:lang w:eastAsia="fr-FR" w:bidi="ar-MA"/>
        </w:rPr>
      </w:pPr>
      <w:r w:rsidRPr="005A4C3C">
        <w:rPr>
          <w:rFonts w:ascii="Tahoma" w:eastAsia="Times New Roman" w:hAnsi="Tahoma" w:cs="Simplified Arabic" w:hint="cs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rtl/>
          <w:lang w:eastAsia="fr-FR" w:bidi="ar-MA"/>
        </w:rPr>
        <w:t>أولا : تطور الفكرة في إنجلترا</w:t>
      </w: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565" w:firstLine="633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 xml:space="preserve">قبل قيام الثورة الصناعية على إمتداد القارة الأوروبية ، كانت إنجلترا ، إبتداءا من سنة 1215 ، و مهدا للعديد من الوثائق الأساسية في مجال الحركات الأاساسية للفرد الإجليزي ، و هي مواثيق تبقى و إلى يومنا هذا محل إهتمام من لندن الدارسين و الباحثين في الشأن الحقوقي على الصعيد الدولي و أهمها : عهد الماكماكارتا ( </w:t>
      </w:r>
      <w:r w:rsidRPr="005A4C3C"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lang w:eastAsia="fr-FR" w:bidi="ar-MA"/>
        </w:rPr>
        <w:t xml:space="preserve">magma carta </w:t>
      </w: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 xml:space="preserve"> ) لعام 2015 ، و هي وثيقة حقوقية أساسية حررها ممثلو طبقة الإقطاعيين بغرض تحديد السلطات الواسعة التي كان يحوز عليها الملك المستبد ، و قد كان لها الأثر البالغ في الإقرار بالعديد من الحقوق الأساسية اللصيقة بالإنسان كالحق في الحرية الفردية ( حرية إنتقال الملك الحق في إبداء رأي معارض ، الحق في الملكية الفردية ، الحق في التجارة ) ، بالإضافة إلى ضمان الحرية الشخصية للأفراد القضائية منها و الإدارية : عريضة الحقوق لعام 1628 : و هي عريضة حقوقية تاريخية أسست لمنظومة حقوقية أساسية في إنجلترا أجبرت الحكومة الأإنجليزية بقيادة شارل الأول على إلغاء جباية ضريبة لم يصوت البرلمان عليها .شرعية الحقوق لعام 1689 : و قد كانت محل تصديق برلماني بتاريخ 25 أكتوبر 1689 ، إن أهم ما جاء فيها تحريم أي تعليق لمفعول أي قانوني من طرف الملك ، بالإضافة إلى تجريم </w:t>
      </w: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lastRenderedPageBreak/>
        <w:t>فرض أية ضريبة أو إنشاء محاكم من طرف الملك دون موافقة البرلمان مع ضمان الحريات الشخصية ، و الحق في تقديم المواطن لعريضة</w:t>
      </w:r>
      <w:r w:rsidRPr="005A4C3C">
        <w:rPr>
          <w:rStyle w:val="Appelnotedebasdep"/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footnoteReference w:id="7"/>
      </w: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 xml:space="preserve">. </w:t>
      </w:r>
    </w:p>
    <w:p w:rsidR="00B40874" w:rsidRPr="005A4C3C" w:rsidRDefault="00B40874" w:rsidP="00B40874">
      <w:pPr>
        <w:pStyle w:val="Paragraphedeliste"/>
        <w:shd w:val="clear" w:color="auto" w:fill="FFFFFF"/>
        <w:bidi/>
        <w:spacing w:after="0" w:line="312" w:lineRule="atLeast"/>
        <w:jc w:val="both"/>
        <w:textAlignment w:val="baseline"/>
        <w:rPr>
          <w:rFonts w:ascii="Arial" w:hAnsi="Arial" w:cs="Arial"/>
          <w:color w:val="000000" w:themeColor="text1"/>
          <w:sz w:val="33"/>
          <w:szCs w:val="33"/>
          <w:shd w:val="clear" w:color="auto" w:fill="F5F5F5"/>
          <w:rtl/>
        </w:rPr>
      </w:pPr>
    </w:p>
    <w:p w:rsidR="00B40874" w:rsidRPr="000F445F" w:rsidRDefault="00B40874" w:rsidP="00B40874">
      <w:pPr>
        <w:pStyle w:val="Paragraphedeliste"/>
        <w:shd w:val="clear" w:color="auto" w:fill="FFFFFF"/>
        <w:bidi/>
        <w:spacing w:after="0" w:line="312" w:lineRule="atLeast"/>
        <w:jc w:val="both"/>
        <w:textAlignment w:val="baseline"/>
        <w:rPr>
          <w:rFonts w:ascii="Arial" w:hAnsi="Arial" w:cs="Simplified Arabic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</w:pPr>
      <w:r w:rsidRPr="000F445F">
        <w:rPr>
          <w:rFonts w:ascii="Arial" w:hAnsi="Arial" w:cs="Simplified Arabic" w:hint="cs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>ثانيا</w:t>
      </w:r>
      <w:r w:rsidRPr="000F445F">
        <w:rPr>
          <w:rFonts w:ascii="Arial" w:hAnsi="Arial" w:cs="Simplified Arabic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 xml:space="preserve"> : </w:t>
      </w:r>
      <w:r w:rsidRPr="000F445F">
        <w:rPr>
          <w:rFonts w:ascii="Arial" w:hAnsi="Arial" w:cs="Simplified Arabic" w:hint="cs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>تطور</w:t>
      </w:r>
      <w:r w:rsidRPr="000F445F">
        <w:rPr>
          <w:rFonts w:ascii="Arial" w:hAnsi="Arial" w:cs="Simplified Arabic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>فكرة</w:t>
      </w:r>
      <w:r w:rsidRPr="000F445F">
        <w:rPr>
          <w:rFonts w:ascii="Arial" w:hAnsi="Arial" w:cs="Simplified Arabic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>في</w:t>
      </w:r>
      <w:r w:rsidRPr="000F445F">
        <w:rPr>
          <w:rFonts w:ascii="Arial" w:hAnsi="Arial" w:cs="Simplified Arabic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>فرنسا</w:t>
      </w:r>
      <w:r w:rsidRPr="000F445F">
        <w:rPr>
          <w:rFonts w:ascii="Arial" w:hAnsi="Arial" w:cs="Simplified Arabic"/>
          <w:b/>
          <w:bCs/>
          <w:color w:val="000000" w:themeColor="text1"/>
          <w:sz w:val="32"/>
          <w:szCs w:val="32"/>
          <w:u w:val="single"/>
          <w:shd w:val="clear" w:color="auto" w:fill="F5F5F5"/>
          <w:rtl/>
        </w:rPr>
        <w:t xml:space="preserve">  </w:t>
      </w:r>
    </w:p>
    <w:p w:rsidR="00B40874" w:rsidRPr="005A4C3C" w:rsidRDefault="00B40874" w:rsidP="00B40874">
      <w:pPr>
        <w:pStyle w:val="Paragraphedeliste"/>
        <w:shd w:val="clear" w:color="auto" w:fill="FFFFFF"/>
        <w:bidi/>
        <w:spacing w:after="0" w:line="312" w:lineRule="atLeast"/>
        <w:ind w:left="423"/>
        <w:jc w:val="both"/>
        <w:textAlignment w:val="baseline"/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</w:pPr>
      <w:r w:rsidRPr="000F445F">
        <w:rPr>
          <w:rFonts w:ascii="Arial" w:hAnsi="Arial" w:cs="Simplified Arabic" w:hint="cs"/>
          <w:b/>
          <w:bCs/>
          <w:color w:val="000000" w:themeColor="text1"/>
          <w:sz w:val="32"/>
          <w:szCs w:val="32"/>
          <w:shd w:val="clear" w:color="auto" w:fill="F5F5F5"/>
          <w:rtl/>
        </w:rPr>
        <w:t xml:space="preserve">    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في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عام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1879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قامت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الدولة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الفرنسة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بإلغاء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الطوائف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الحرفية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و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استبدلتها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بنظام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قانوني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جديد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يقوم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على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عقد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العمل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الفردي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،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فأنشأت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سوقا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مأجورا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للعمل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،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و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الحرب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العالمية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الأولى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أصى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البرلمان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بتأسيس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تنظيم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دولي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يعني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بشؤون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العمل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،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و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بذلك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بادرت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السلطات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العمومية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في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التدخل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في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الشؤون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الإقتصادية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عن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طريق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: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إعتماد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السلطات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العمومية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الفرنسية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المباشر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للمرافق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العمومية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سنة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1848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و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هو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ما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أصبح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يعرف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بعقد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الإمتياز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،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أيضا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إستحداث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حكومة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الجبهة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الشعبية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بعد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الأإنتخابات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التشريعية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الفرنسية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3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ماي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1936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،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و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أخيرا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دعم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و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تعزيز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المؤسسة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العمومية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الإدارية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التي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لها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القدرة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على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أن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يكون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متواجدة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في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أماكن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السلطات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</w:t>
      </w:r>
      <w:r w:rsidRPr="000F445F">
        <w:rPr>
          <w:rFonts w:ascii="Arial" w:hAnsi="Arial" w:cs="Simplified Arabic" w:hint="cs"/>
          <w:color w:val="000000" w:themeColor="text1"/>
          <w:sz w:val="32"/>
          <w:szCs w:val="32"/>
          <w:shd w:val="clear" w:color="auto" w:fill="F5F5F5"/>
          <w:rtl/>
        </w:rPr>
        <w:t>العمومية</w:t>
      </w:r>
      <w:r w:rsidRPr="000F445F">
        <w:rPr>
          <w:rFonts w:ascii="Arial" w:hAnsi="Arial" w:cs="Simplified Arabic"/>
          <w:color w:val="000000" w:themeColor="text1"/>
          <w:sz w:val="32"/>
          <w:szCs w:val="32"/>
          <w:shd w:val="clear" w:color="auto" w:fill="F5F5F5"/>
          <w:rtl/>
        </w:rPr>
        <w:t xml:space="preserve"> .</w:t>
      </w:r>
    </w:p>
    <w:p w:rsidR="00B40874" w:rsidRPr="00575F77" w:rsidRDefault="00B40874" w:rsidP="00B40874">
      <w:pPr>
        <w:pStyle w:val="Titre3"/>
        <w:rPr>
          <w:bdr w:val="none" w:sz="0" w:space="0" w:color="auto" w:frame="1"/>
          <w:rtl/>
        </w:rPr>
      </w:pPr>
      <w:bookmarkStart w:id="7" w:name="_Toc525240629"/>
      <w:bookmarkStart w:id="8" w:name="_Toc532927724"/>
      <w:r w:rsidRPr="00575F77">
        <w:rPr>
          <w:rFonts w:hint="cs"/>
          <w:bdr w:val="none" w:sz="0" w:space="0" w:color="auto" w:frame="1"/>
          <w:rtl/>
        </w:rPr>
        <w:t>المطلب الثاني : خصوصية و محتوى القانون الإقتصادي العام</w:t>
      </w:r>
      <w:bookmarkEnd w:id="7"/>
      <w:bookmarkEnd w:id="8"/>
    </w:p>
    <w:p w:rsidR="00B40874" w:rsidRPr="0036628C" w:rsidRDefault="00B40874" w:rsidP="00B40874">
      <w:pPr>
        <w:bidi/>
        <w:spacing w:after="0"/>
        <w:ind w:left="423" w:firstLine="565"/>
        <w:jc w:val="both"/>
        <w:rPr>
          <w:rFonts w:cs="Simplified Arabic"/>
          <w:sz w:val="32"/>
          <w:szCs w:val="32"/>
          <w:rtl/>
        </w:rPr>
      </w:pPr>
      <w:r>
        <w:rPr>
          <w:rFonts w:hint="cs"/>
          <w:bdr w:val="none" w:sz="0" w:space="0" w:color="auto" w:frame="1"/>
          <w:rtl/>
          <w:lang w:eastAsia="fr-FR" w:bidi="ar-MA"/>
        </w:rPr>
        <w:t xml:space="preserve">  </w:t>
      </w:r>
      <w:r w:rsidRPr="0036628C">
        <w:rPr>
          <w:rFonts w:cs="Simplified Arabic" w:hint="cs"/>
          <w:sz w:val="32"/>
          <w:szCs w:val="32"/>
          <w:rtl/>
        </w:rPr>
        <w:t>بعد التطرق لأهم تعاريف للقانون الإقتصادي العام إرتأينا تحديد خصوصيته و محتواه في هذا المطلب بتقسيمه لفرعين ، الفرع الأول : خصوصية القانون الإقتصادي العام الفرع الثاني : محتوى القانون الإٌقتصادي العام .</w:t>
      </w:r>
    </w:p>
    <w:p w:rsidR="00B40874" w:rsidRPr="004A0E75" w:rsidRDefault="00B40874" w:rsidP="00B40874">
      <w:pPr>
        <w:shd w:val="clear" w:color="auto" w:fill="FFFFFF"/>
        <w:bidi/>
        <w:spacing w:after="0" w:line="312" w:lineRule="atLeast"/>
        <w:jc w:val="both"/>
        <w:textAlignment w:val="baseline"/>
        <w:rPr>
          <w:rFonts w:ascii="Tahoma" w:eastAsia="Times New Roman" w:hAnsi="Tahoma" w:cs="Simplified Arabic"/>
          <w:b/>
          <w:bCs/>
          <w:color w:val="000000" w:themeColor="text1"/>
          <w:sz w:val="36"/>
          <w:szCs w:val="36"/>
          <w:bdr w:val="none" w:sz="0" w:space="0" w:color="auto" w:frame="1"/>
          <w:rtl/>
          <w:lang w:eastAsia="fr-FR" w:bidi="ar-MA"/>
        </w:rPr>
      </w:pPr>
    </w:p>
    <w:p w:rsidR="00B40874" w:rsidRPr="00575F77" w:rsidRDefault="00B40874" w:rsidP="00B40874">
      <w:pPr>
        <w:pStyle w:val="Titre4"/>
        <w:rPr>
          <w:bdr w:val="none" w:sz="0" w:space="0" w:color="auto" w:frame="1"/>
          <w:rtl/>
        </w:rPr>
      </w:pPr>
      <w:r w:rsidRPr="00575F77">
        <w:rPr>
          <w:rFonts w:hint="cs"/>
          <w:bdr w:val="none" w:sz="0" w:space="0" w:color="auto" w:frame="1"/>
          <w:rtl/>
        </w:rPr>
        <w:t>الفرع الأول : خصوصية القانون الإقتصادي العام</w:t>
      </w:r>
    </w:p>
    <w:p w:rsidR="00B40874" w:rsidRPr="005A4C3C" w:rsidRDefault="00B40874" w:rsidP="00B40874">
      <w:pPr>
        <w:pStyle w:val="Paragraphedeliste"/>
        <w:shd w:val="clear" w:color="auto" w:fill="FFFFFF"/>
        <w:bidi/>
        <w:spacing w:after="0" w:line="312" w:lineRule="atLeast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565" w:firstLine="633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 xml:space="preserve">إن العلاقات الإقتصادية الناشئة عن ممارسة الأنشطة الإقتصادية تنظمها القوانين الأخرى كالقانون التجاري و العمل و الضريبي قانون الشركات و غيرها من </w:t>
      </w: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lastRenderedPageBreak/>
        <w:t>القوانين الأخرى التي تنظم إقتصاد الدول ، إلا أن القانون الإقتصادي العام يتميز بخاصية ربطه بين فروع القانون العام و القانون الخاص .</w:t>
      </w: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565" w:firstLine="633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>فالقانون الخاص ينظم العلاقات بين الأشخاص العادية أما القانون العام فيتميز باستعمال السطة العامة لصلاحياتها و بالرغم من ذلك نجده يحقق معنى الجمع بين أهداف القانونين في تحقيق المصلحة الخاصة و العامة معا .</w:t>
      </w: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565" w:firstLine="633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>و عليه يمكن القول أن للقانون الإقتصادي خصوصية تتمثل في تنظيم عمل الأعوان الإقتصادية مع مراعاة تدخل الدولة بشكل منتظم في النشاط الإقتصادي .</w:t>
      </w: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565" w:firstLine="633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>كما أن نطاق القانون الإقتصادي العام واسع يشمل جميع المجالات الإقتصادية على غرار بعض القوانين التي يكون مجالها محدد بقواعد التي تعمل بها كالقانون التجاري الذي يختص بتحديد مفهوم التاجر و العمل التجاري و علاقتهم ببعض ، و أيضا قانون الشركات الذي مجاله الشركة و أنواعها و تنظيم طرق تأسيسها و كيفية عملها و حالات حلها ، و أيضا قانون العمل الذي يحد حقوق العامل و علاقته بأرباب العمل .</w:t>
      </w: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565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</w:p>
    <w:p w:rsidR="00B40874" w:rsidRPr="00532C68" w:rsidRDefault="00B40874" w:rsidP="00B40874">
      <w:pPr>
        <w:pStyle w:val="Titre4"/>
        <w:rPr>
          <w:rFonts w:asciiTheme="majorHAnsi" w:hAnsiTheme="majorHAnsi" w:cstheme="majorBidi"/>
          <w:color w:val="4F81BD" w:themeColor="accent1"/>
          <w:sz w:val="22"/>
          <w:szCs w:val="22"/>
          <w:bdr w:val="none" w:sz="0" w:space="0" w:color="auto" w:frame="1"/>
          <w:rtl/>
        </w:rPr>
      </w:pPr>
      <w:r w:rsidRPr="00575F77">
        <w:rPr>
          <w:rFonts w:hint="cs"/>
          <w:bdr w:val="none" w:sz="0" w:space="0" w:color="auto" w:frame="1"/>
          <w:rtl/>
        </w:rPr>
        <w:t xml:space="preserve">الفرع الثاني : محتوى القانون الإٌقتصادي العام </w:t>
      </w:r>
    </w:p>
    <w:p w:rsidR="00B40874" w:rsidRPr="005A4C3C" w:rsidRDefault="00B40874" w:rsidP="00B40874">
      <w:pPr>
        <w:shd w:val="clear" w:color="auto" w:fill="FFFFFF"/>
        <w:bidi/>
        <w:spacing w:after="0" w:line="312" w:lineRule="atLeast"/>
        <w:ind w:left="565" w:firstLine="633"/>
        <w:jc w:val="both"/>
        <w:textAlignment w:val="baseline"/>
        <w:rPr>
          <w:rFonts w:ascii="Tahoma" w:eastAsia="Times New Roman" w:hAnsi="Tahoma" w:cs="Simplified Arabic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</w:pPr>
      <w:r w:rsidRPr="005A4C3C">
        <w:rPr>
          <w:rFonts w:ascii="Tahoma" w:eastAsia="Times New Roman" w:hAnsi="Tahoma" w:cs="Simplified Arabic" w:hint="cs"/>
          <w:color w:val="000000" w:themeColor="text1"/>
          <w:sz w:val="32"/>
          <w:szCs w:val="32"/>
          <w:bdr w:val="none" w:sz="0" w:space="0" w:color="auto" w:frame="1"/>
          <w:rtl/>
          <w:lang w:eastAsia="fr-FR" w:bidi="ar-MA"/>
        </w:rPr>
        <w:t>إن القانون الإقتنصادي العام يشمل جميع القوانين التي مجالها إقتصادي و لكن من الجانب التنظيمي لها ، فمثلا يدخل في قواعده قانون المنافسة ، من حيث تنظيم مبدأ المنافسة المشروعة عن طريق لجان أسستها الدولة لذلك ، و أيضا يدخل في مجاله القانون الضريبي من خلال قواعده جباية الضريبة و المؤسسات الإدارية المختصة بمراقبة جباية الضرائب و معاقبة مخالفيها . فهو قانون المؤسسات الإدارية المستقلة التي تنظم مجال العمل الإقتصادي .</w:t>
      </w:r>
    </w:p>
    <w:p w:rsidR="00902689" w:rsidRDefault="00902689">
      <w:pPr>
        <w:rPr>
          <w:lang w:bidi="ar-MA"/>
        </w:rPr>
      </w:pPr>
    </w:p>
    <w:sectPr w:rsidR="00902689" w:rsidSect="0090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BB3" w:rsidRDefault="00DB1BB3" w:rsidP="00B40874">
      <w:pPr>
        <w:spacing w:after="0" w:line="240" w:lineRule="auto"/>
      </w:pPr>
      <w:r>
        <w:separator/>
      </w:r>
    </w:p>
  </w:endnote>
  <w:endnote w:type="continuationSeparator" w:id="1">
    <w:p w:rsidR="00DB1BB3" w:rsidRDefault="00DB1BB3" w:rsidP="00B4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BB3" w:rsidRDefault="00DB1BB3" w:rsidP="00B40874">
      <w:pPr>
        <w:spacing w:after="0" w:line="240" w:lineRule="auto"/>
      </w:pPr>
      <w:r>
        <w:separator/>
      </w:r>
    </w:p>
  </w:footnote>
  <w:footnote w:type="continuationSeparator" w:id="1">
    <w:p w:rsidR="00DB1BB3" w:rsidRDefault="00DB1BB3" w:rsidP="00B40874">
      <w:pPr>
        <w:spacing w:after="0" w:line="240" w:lineRule="auto"/>
      </w:pPr>
      <w:r>
        <w:continuationSeparator/>
      </w:r>
    </w:p>
  </w:footnote>
  <w:footnote w:id="2">
    <w:p w:rsidR="00B40874" w:rsidRPr="00482ABA" w:rsidRDefault="00B40874" w:rsidP="00B40874">
      <w:pPr>
        <w:pStyle w:val="Notedebasdepage"/>
        <w:bidi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82ABA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482ABA">
        <w:rPr>
          <w:rFonts w:ascii="Times New Roman" w:hAnsi="Times New Roman" w:cs="Times New Roman"/>
          <w:sz w:val="24"/>
          <w:szCs w:val="24"/>
        </w:rPr>
        <w:t xml:space="preserve"> </w:t>
      </w:r>
      <w:r w:rsidRPr="00482ABA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r w:rsidRPr="00482ABA">
        <w:rPr>
          <w:rFonts w:ascii="Times New Roman" w:hAnsi="Times New Roman" w:cs="Times New Roman"/>
          <w:sz w:val="24"/>
          <w:szCs w:val="24"/>
          <w:rtl/>
        </w:rPr>
        <w:t>عبد الرززاق زواتين ، دروس في القانون الاقتصادي العام ، كلية الحقوق ، جامعة قسنطينة  ، 2016</w:t>
      </w:r>
      <w:r w:rsidRPr="00482ABA">
        <w:rPr>
          <w:rFonts w:ascii="Times New Roman" w:hAnsi="Times New Roman" w:cs="Times New Roman"/>
          <w:sz w:val="24"/>
          <w:szCs w:val="24"/>
          <w:rtl/>
          <w:lang w:bidi="ar-DZ"/>
        </w:rPr>
        <w:t>، ص 18 .</w:t>
      </w:r>
    </w:p>
  </w:footnote>
  <w:footnote w:id="3">
    <w:p w:rsidR="00B40874" w:rsidRPr="00482ABA" w:rsidRDefault="00B40874" w:rsidP="00B40874">
      <w:pPr>
        <w:pStyle w:val="Notedebasdepage"/>
        <w:bidi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82ABA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482ABA">
        <w:rPr>
          <w:rFonts w:ascii="Times New Roman" w:hAnsi="Times New Roman" w:cs="Times New Roman"/>
          <w:sz w:val="24"/>
          <w:szCs w:val="24"/>
        </w:rPr>
        <w:t xml:space="preserve"> </w:t>
      </w:r>
      <w:r w:rsidRPr="00482ABA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سالمي وردة ، دروس في القانون العام الإقتصادي ، كلية الحقوق ، جامعة قسنطينة ، 2017 ، ص 9 .</w:t>
      </w:r>
    </w:p>
  </w:footnote>
  <w:footnote w:id="4">
    <w:p w:rsidR="00B40874" w:rsidRPr="00482ABA" w:rsidRDefault="00B40874" w:rsidP="00B40874">
      <w:pPr>
        <w:pStyle w:val="Notedebasdepage"/>
        <w:bidi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82ABA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482ABA">
        <w:rPr>
          <w:rFonts w:ascii="Times New Roman" w:hAnsi="Times New Roman" w:cs="Times New Roman"/>
          <w:sz w:val="24"/>
          <w:szCs w:val="24"/>
        </w:rPr>
        <w:t xml:space="preserve"> </w:t>
      </w:r>
      <w:r w:rsidRPr="00482ABA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عبد المجيد صغير بيرم ، الوجيز في القانون العام الإقتصادي ، كلية الحقوق و العلوم السياسية ، جامعة المسيلة ،2017 ، ص 7 .</w:t>
      </w:r>
    </w:p>
  </w:footnote>
  <w:footnote w:id="5">
    <w:p w:rsidR="00B40874" w:rsidRPr="00482ABA" w:rsidRDefault="00B40874" w:rsidP="00B40874">
      <w:pPr>
        <w:pStyle w:val="Notedebasdepage"/>
        <w:bidi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82ABA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482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82ABA">
        <w:rPr>
          <w:rFonts w:ascii="Times New Roman" w:hAnsi="Times New Roman" w:cs="Times New Roman"/>
          <w:sz w:val="24"/>
          <w:szCs w:val="24"/>
          <w:rtl/>
          <w:lang w:bidi="ar-DZ"/>
        </w:rPr>
        <w:t>محمد بكرارشوش ، القانون العام الإقتصادي ، كلية الحقوق و العلوم السياسية ، جامة ورقلة ، 2014 ، ص 9 .</w:t>
      </w:r>
    </w:p>
  </w:footnote>
  <w:footnote w:id="6">
    <w:p w:rsidR="00B40874" w:rsidRPr="00482ABA" w:rsidRDefault="00B40874" w:rsidP="00B40874">
      <w:pPr>
        <w:pStyle w:val="Notedebasdepage"/>
        <w:bidi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82ABA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482ABA">
        <w:rPr>
          <w:rFonts w:ascii="Times New Roman" w:hAnsi="Times New Roman" w:cs="Times New Roman"/>
          <w:sz w:val="24"/>
          <w:szCs w:val="24"/>
        </w:rPr>
        <w:t xml:space="preserve"> </w:t>
      </w:r>
      <w:r w:rsidRPr="00482ABA">
        <w:rPr>
          <w:rFonts w:ascii="Times New Roman" w:hAnsi="Times New Roman" w:cs="Times New Roman"/>
          <w:sz w:val="24"/>
          <w:szCs w:val="24"/>
          <w:rtl/>
        </w:rPr>
        <w:t xml:space="preserve"> عبد الرززاق زواتين ، المرجع السابق، </w:t>
      </w:r>
      <w:r w:rsidRPr="00482ABA">
        <w:rPr>
          <w:rFonts w:ascii="Times New Roman" w:hAnsi="Times New Roman" w:cs="Times New Roman"/>
          <w:sz w:val="24"/>
          <w:szCs w:val="24"/>
          <w:rtl/>
          <w:lang w:bidi="ar-DZ"/>
        </w:rPr>
        <w:t>ص 19 .</w:t>
      </w:r>
    </w:p>
  </w:footnote>
  <w:footnote w:id="7">
    <w:p w:rsidR="00B40874" w:rsidRPr="00482ABA" w:rsidRDefault="00B40874" w:rsidP="00B40874">
      <w:pPr>
        <w:pStyle w:val="Notedebasdepage"/>
        <w:bidi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82ABA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482ABA">
        <w:rPr>
          <w:rFonts w:ascii="Times New Roman" w:hAnsi="Times New Roman" w:cs="Times New Roman"/>
          <w:sz w:val="24"/>
          <w:szCs w:val="24"/>
        </w:rPr>
        <w:t xml:space="preserve"> </w:t>
      </w:r>
      <w:r w:rsidRPr="00482ABA">
        <w:rPr>
          <w:rFonts w:ascii="Times New Roman" w:hAnsi="Times New Roman" w:cs="Times New Roman"/>
          <w:sz w:val="24"/>
          <w:szCs w:val="24"/>
          <w:rtl/>
          <w:lang w:bidi="ar-DZ"/>
        </w:rPr>
        <w:t>بيرم عز الدين ، المرجع السابق ، ص 19 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76529"/>
    <w:multiLevelType w:val="hybridMultilevel"/>
    <w:tmpl w:val="9BA0B600"/>
    <w:lvl w:ilvl="0" w:tplc="A0BA7DC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874"/>
    <w:rsid w:val="00902689"/>
    <w:rsid w:val="00B40874"/>
    <w:rsid w:val="00DB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874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40874"/>
    <w:pPr>
      <w:keepNext/>
      <w:keepLines/>
      <w:bidi/>
      <w:spacing w:before="480" w:after="0"/>
      <w:jc w:val="center"/>
      <w:outlineLvl w:val="0"/>
    </w:pPr>
    <w:rPr>
      <w:rFonts w:ascii="Simplified Arabic" w:eastAsiaTheme="majorEastAsia" w:hAnsi="Simplified Arabic" w:cs="Simplified Arabic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40874"/>
    <w:pPr>
      <w:keepNext/>
      <w:keepLines/>
      <w:bidi/>
      <w:spacing w:before="200" w:after="0"/>
      <w:ind w:left="423" w:hanging="423"/>
      <w:jc w:val="center"/>
      <w:outlineLvl w:val="1"/>
    </w:pPr>
    <w:rPr>
      <w:rFonts w:ascii="Simplified Arabic" w:eastAsiaTheme="majorEastAsia" w:hAnsi="Simplified Arabic" w:cs="Simplified Arabic"/>
      <w:b/>
      <w:bCs/>
      <w:color w:val="000000" w:themeColor="text1"/>
      <w:sz w:val="44"/>
      <w:szCs w:val="4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40874"/>
    <w:pPr>
      <w:keepNext/>
      <w:keepLines/>
      <w:bidi/>
      <w:spacing w:after="0" w:line="480" w:lineRule="auto"/>
      <w:ind w:firstLine="565"/>
      <w:jc w:val="center"/>
      <w:outlineLvl w:val="2"/>
    </w:pPr>
    <w:rPr>
      <w:rFonts w:ascii="Simplified Arabic" w:eastAsiaTheme="majorEastAsia" w:hAnsi="Simplified Arabic" w:cs="Simplified Arabic"/>
      <w:bCs/>
      <w:color w:val="000000" w:themeColor="text1"/>
      <w:sz w:val="40"/>
      <w:szCs w:val="40"/>
      <w:lang w:bidi="ar-DZ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B40874"/>
    <w:pPr>
      <w:keepNext/>
      <w:keepLines/>
      <w:bidi/>
      <w:spacing w:before="200" w:after="0"/>
      <w:jc w:val="center"/>
      <w:outlineLvl w:val="3"/>
    </w:pPr>
    <w:rPr>
      <w:rFonts w:ascii="Simplified Arabic" w:eastAsiaTheme="majorEastAsia" w:hAnsi="Simplified Arabic" w:cs="Simplified Arabic"/>
      <w:b/>
      <w:bCs/>
      <w:i/>
      <w:color w:val="000000" w:themeColor="text1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874"/>
    <w:rPr>
      <w:rFonts w:ascii="Simplified Arabic" w:eastAsiaTheme="majorEastAsia" w:hAnsi="Simplified Arabic" w:cs="Simplified Arabic"/>
      <w:b/>
      <w:bCs/>
      <w:color w:val="000000" w:themeColor="text1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B40874"/>
    <w:rPr>
      <w:rFonts w:ascii="Simplified Arabic" w:eastAsiaTheme="majorEastAsia" w:hAnsi="Simplified Arabic" w:cs="Simplified Arabic"/>
      <w:b/>
      <w:bCs/>
      <w:color w:val="000000" w:themeColor="text1"/>
      <w:sz w:val="44"/>
      <w:szCs w:val="44"/>
    </w:rPr>
  </w:style>
  <w:style w:type="character" w:customStyle="1" w:styleId="Titre3Car">
    <w:name w:val="Titre 3 Car"/>
    <w:basedOn w:val="Policepardfaut"/>
    <w:link w:val="Titre3"/>
    <w:uiPriority w:val="9"/>
    <w:rsid w:val="00B40874"/>
    <w:rPr>
      <w:rFonts w:ascii="Simplified Arabic" w:eastAsiaTheme="majorEastAsia" w:hAnsi="Simplified Arabic" w:cs="Simplified Arabic"/>
      <w:bCs/>
      <w:color w:val="000000" w:themeColor="text1"/>
      <w:sz w:val="40"/>
      <w:szCs w:val="40"/>
      <w:lang w:bidi="ar-DZ"/>
    </w:rPr>
  </w:style>
  <w:style w:type="character" w:customStyle="1" w:styleId="Titre4Car">
    <w:name w:val="Titre 4 Car"/>
    <w:basedOn w:val="Policepardfaut"/>
    <w:link w:val="Titre4"/>
    <w:uiPriority w:val="9"/>
    <w:rsid w:val="00B40874"/>
    <w:rPr>
      <w:rFonts w:ascii="Simplified Arabic" w:eastAsiaTheme="majorEastAsia" w:hAnsi="Simplified Arabic" w:cs="Simplified Arabic"/>
      <w:b/>
      <w:bCs/>
      <w:i/>
      <w:color w:val="000000" w:themeColor="text1"/>
      <w:sz w:val="36"/>
      <w:szCs w:val="36"/>
    </w:rPr>
  </w:style>
  <w:style w:type="paragraph" w:styleId="Notedebasdepage">
    <w:name w:val="footnote text"/>
    <w:basedOn w:val="Normal"/>
    <w:link w:val="NotedebasdepageCar"/>
    <w:unhideWhenUsed/>
    <w:rsid w:val="00B408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40874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B4087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408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0874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40874"/>
    <w:pPr>
      <w:tabs>
        <w:tab w:val="right" w:leader="dot" w:pos="9060"/>
      </w:tabs>
      <w:bidi/>
      <w:spacing w:after="100"/>
      <w:ind w:left="565"/>
      <w:jc w:val="both"/>
    </w:pPr>
    <w:rPr>
      <w:rFonts w:eastAsiaTheme="minorEastAsia" w:cs="Simplified Arabic"/>
      <w:sz w:val="32"/>
      <w:szCs w:val="32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1188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2020-04-12T15:42:00Z</dcterms:created>
  <dcterms:modified xsi:type="dcterms:W3CDTF">2020-04-12T15:42:00Z</dcterms:modified>
</cp:coreProperties>
</file>