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00" w:rsidRPr="00AE50A3" w:rsidRDefault="00AE50A3">
      <w:pPr>
        <w:jc w:val="center"/>
        <w:rPr>
          <w:b/>
          <w:bCs/>
          <w:sz w:val="24"/>
          <w:szCs w:val="24"/>
          <w:lang w:val="en-GB"/>
        </w:rPr>
      </w:pPr>
      <w:r w:rsidRPr="00AE50A3">
        <w:rPr>
          <w:b/>
          <w:bCs/>
          <w:sz w:val="24"/>
          <w:szCs w:val="24"/>
          <w:lang w:val="en-GB"/>
        </w:rPr>
        <w:t>Language with an Attitude</w:t>
      </w:r>
    </w:p>
    <w:p w:rsidR="00007100" w:rsidRPr="00AE50A3" w:rsidRDefault="00AE50A3">
      <w:pPr>
        <w:rPr>
          <w:b/>
          <w:bCs/>
          <w:sz w:val="24"/>
          <w:szCs w:val="24"/>
          <w:lang w:val="en-GB"/>
        </w:rPr>
      </w:pPr>
      <w:r w:rsidRPr="00AE50A3">
        <w:rPr>
          <w:b/>
          <w:bCs/>
          <w:sz w:val="24"/>
          <w:szCs w:val="24"/>
          <w:lang w:val="en-GB"/>
        </w:rPr>
        <w:t xml:space="preserve">Language and People </w:t>
      </w:r>
    </w:p>
    <w:p w:rsidR="00007100" w:rsidRPr="00AE50A3" w:rsidRDefault="00AE50A3">
      <w:pPr>
        <w:spacing w:line="480" w:lineRule="auto"/>
        <w:rPr>
          <w:sz w:val="24"/>
          <w:szCs w:val="24"/>
          <w:lang w:val="en-GB"/>
        </w:rPr>
      </w:pPr>
      <w:r w:rsidRPr="00AE50A3">
        <w:rPr>
          <w:sz w:val="24"/>
          <w:szCs w:val="24"/>
          <w:lang w:val="en-GB"/>
        </w:rPr>
        <w:t xml:space="preserve"> It is perhaps the least surprising thing imaginable to find that attitudes towards  languages and their varieties </w:t>
      </w:r>
      <w:r w:rsidRPr="00AE50A3">
        <w:rPr>
          <w:sz w:val="24"/>
          <w:szCs w:val="24"/>
          <w:highlight w:val="yellow"/>
          <w:lang w:val="en-GB"/>
        </w:rPr>
        <w:t>seem to be tied to attitudes towards groups of  people.</w:t>
      </w:r>
      <w:r w:rsidRPr="00AE50A3">
        <w:rPr>
          <w:sz w:val="24"/>
          <w:szCs w:val="24"/>
          <w:lang w:val="en-GB"/>
        </w:rPr>
        <w:t xml:space="preserve"> Some groups are believed to </w:t>
      </w:r>
      <w:r w:rsidRPr="00AE50A3">
        <w:rPr>
          <w:sz w:val="24"/>
          <w:szCs w:val="24"/>
          <w:highlight w:val="yellow"/>
          <w:lang w:val="en-GB"/>
        </w:rPr>
        <w:t>be decent, hard-working, and</w:t>
      </w:r>
      <w:r w:rsidRPr="00AE50A3">
        <w:rPr>
          <w:sz w:val="24"/>
          <w:szCs w:val="24"/>
          <w:lang w:val="en-GB"/>
        </w:rPr>
        <w:t xml:space="preserve"> intelligent (and  so is their language or variety); some groups are believed to be </w:t>
      </w:r>
      <w:r w:rsidRPr="00AE50A3">
        <w:rPr>
          <w:sz w:val="24"/>
          <w:szCs w:val="24"/>
          <w:highlight w:val="yellow"/>
          <w:lang w:val="en-GB"/>
        </w:rPr>
        <w:t>laid-back, romantic, and devil may-care (and so is their language or variety)</w:t>
      </w:r>
      <w:r w:rsidRPr="00AE50A3">
        <w:rPr>
          <w:sz w:val="24"/>
          <w:szCs w:val="24"/>
          <w:lang w:val="en-GB"/>
        </w:rPr>
        <w:t xml:space="preserve">; some groups are believed </w:t>
      </w:r>
      <w:r w:rsidRPr="00AE50A3">
        <w:rPr>
          <w:sz w:val="24"/>
          <w:szCs w:val="24"/>
          <w:highlight w:val="yellow"/>
          <w:lang w:val="en-GB"/>
        </w:rPr>
        <w:t>to be lazy, insolent, and procrastinating (</w:t>
      </w:r>
      <w:r w:rsidRPr="00AE50A3">
        <w:rPr>
          <w:sz w:val="24"/>
          <w:szCs w:val="24"/>
          <w:lang w:val="en-GB"/>
        </w:rPr>
        <w:t xml:space="preserve">and so is their language or  variety); some groups are believed to be </w:t>
      </w:r>
      <w:r w:rsidRPr="00AE50A3">
        <w:rPr>
          <w:sz w:val="24"/>
          <w:szCs w:val="24"/>
          <w:highlight w:val="yellow"/>
          <w:lang w:val="en-GB"/>
        </w:rPr>
        <w:t>hard-nosed, aloof, and unsympathetic</w:t>
      </w:r>
      <w:r w:rsidRPr="00AE50A3">
        <w:rPr>
          <w:sz w:val="24"/>
          <w:szCs w:val="24"/>
          <w:lang w:val="en-GB"/>
        </w:rPr>
        <w:t xml:space="preserve">  (and so is their language or variety), and so on. </w:t>
      </w:r>
      <w:r w:rsidRPr="00AE50A3">
        <w:rPr>
          <w:sz w:val="24"/>
          <w:szCs w:val="24"/>
          <w:highlight w:val="yellow"/>
          <w:lang w:val="en-GB"/>
        </w:rPr>
        <w:t>For the folk mind, such correlations are obvious</w:t>
      </w:r>
      <w:r w:rsidRPr="00AE50A3">
        <w:rPr>
          <w:sz w:val="24"/>
          <w:szCs w:val="24"/>
          <w:lang w:val="en-GB"/>
        </w:rPr>
        <w:t xml:space="preserve">, reaching down even into the linguistic details of the language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and so on. For the folk mind, such correlations are obvious, reaching down even into the linguistic details of the language or variety itself.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highlight w:val="yellow"/>
          <w:lang w:val="en-GB" w:eastAsia="fr-FR"/>
        </w:rPr>
        <w:t>Germans are harsh; just listen to their harsh, guttural consonants.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highlight w:val="yellow"/>
          <w:lang w:val="en-GB" w:eastAsia="fr-FR"/>
        </w:rPr>
        <w:t>US southerners are laid-back and lazy; just listen to their lazy, drawled vowels.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Lower-status speakers are unintelligent; they don ’ t even understand that two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negatives make a positive, and so on. For many social psychologists, these correlations carry considerable weight; as Edwards puts it, “People ’ s reactions to language varieties reveal much of their perception of the speakers of these varieties” </w:t>
      </w:r>
    </w:p>
    <w:p w:rsidR="00007100" w:rsidRPr="00AE50A3" w:rsidRDefault="00AE50A3">
      <w:pPr>
        <w:spacing w:after="0" w:line="480" w:lineRule="auto"/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(1982: 20). </w:t>
      </w:r>
    </w:p>
    <w:p w:rsidR="00007100" w:rsidRPr="00AE50A3" w:rsidRDefault="00007100">
      <w:pPr>
        <w:spacing w:after="0" w:line="480" w:lineRule="auto"/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</w:pPr>
    </w:p>
    <w:p w:rsidR="00007100" w:rsidRPr="00AE50A3" w:rsidRDefault="00AE50A3">
      <w:pPr>
        <w:spacing w:after="0" w:line="480" w:lineRule="auto"/>
        <w:jc w:val="center"/>
        <w:rPr>
          <w:rFonts w:ascii="Palatino-Roman" w:eastAsia="Times New Roman" w:hAnsi="Palatino-Roman" w:cs="Times New Roman"/>
          <w:b/>
          <w:bCs/>
          <w:color w:val="231F20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b/>
          <w:bCs/>
          <w:color w:val="231F20"/>
          <w:sz w:val="24"/>
          <w:szCs w:val="24"/>
          <w:lang w:val="en-GB" w:eastAsia="fr-FR"/>
        </w:rPr>
        <w:t>The Linguists’ Views</w:t>
      </w:r>
    </w:p>
    <w:p w:rsidR="00007100" w:rsidRPr="00AE50A3" w:rsidRDefault="0000710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Linguists, by contrast, find the structure of language everywhere complex and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fully articulated, reflecting, as most present-day scholars in the field would have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lastRenderedPageBreak/>
        <w:t>it, the universal and species-specifc human capacity for language. Where conso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nants are made, how vowel length is distributed, and what morphological, lexical,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>syntactic, semantic, and pragmatic strategies are employed are all ref</w:t>
      </w:r>
      <w:r>
        <w:rPr>
          <w:rFonts w:ascii="Palatino-Roman" w:eastAsia="Times New Roman" w:hAnsi="Palatino-Roman" w:cs="Times New Roman"/>
          <w:color w:val="231F20"/>
          <w:sz w:val="24"/>
          <w:szCs w:val="24"/>
          <w:lang w:val="en-US" w:eastAsia="fr-FR"/>
        </w:rPr>
        <w:t>le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xes of the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complex interaction of the underlying components of the organizing system which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lies behind human language.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Nevertheless, understanding the relationship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between group stereotypes and linguistic facts, no matter how scientifically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suspect at the linguistic end, appears to be particularly important in accounting </w:t>
      </w:r>
    </w:p>
    <w:p w:rsidR="00007100" w:rsidRPr="00AE50A3" w:rsidRDefault="00AE50A3">
      <w:pPr>
        <w:spacing w:after="0" w:line="480" w:lineRule="auto"/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for the social identities we infer and respond to. </w:t>
      </w:r>
    </w:p>
    <w:p w:rsidR="00007100" w:rsidRPr="00AE50A3" w:rsidRDefault="00AE50A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b/>
          <w:bCs/>
          <w:color w:val="231F20"/>
          <w:sz w:val="24"/>
          <w:szCs w:val="24"/>
          <w:lang w:val="en-GB" w:eastAsia="fr-FR"/>
        </w:rPr>
        <w:t>The Social Psychologists’ Views</w:t>
      </w:r>
    </w:p>
    <w:p w:rsidR="00007100" w:rsidRPr="00AE50A3" w:rsidRDefault="00AE50A3">
      <w:pPr>
        <w:spacing w:after="0" w:line="480" w:lineRule="auto"/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Social psychologists were greatly concerned with establishing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highlight w:val="yellow"/>
          <w:lang w:val="en-GB" w:eastAsia="fr-FR"/>
        </w:rPr>
        <w:t>language-and people connections.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Questionnaires, interviews, and scaling techniques asked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people directly about their feelings,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highlight w:val="yellow"/>
          <w:lang w:val="en-GB" w:eastAsia="fr-FR"/>
        </w:rPr>
        <w:t xml:space="preserve">including racist, sexist, classist, regionalist, or </w:t>
      </w:r>
      <w:r w:rsidRPr="00AE50A3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highlight w:val="yellow"/>
          <w:lang w:val="en-GB" w:eastAsia="fr-FR"/>
        </w:rPr>
        <w:t>other prejudicial attitudes.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The results were suspect because they allowed respondents to disguise their feelings, either to project a different self-image and/or to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give responses they thought the interviewer might approve of.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An early method used to circumvent respondent manipulation was the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>“matched-guise” technique.</w:t>
      </w:r>
      <w:r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</w:t>
      </w:r>
    </w:p>
    <w:p w:rsidR="00007100" w:rsidRPr="00AE50A3" w:rsidRDefault="00AE50A3">
      <w:pPr>
        <w:spacing w:after="0" w:line="480" w:lineRule="auto"/>
        <w:jc w:val="center"/>
        <w:rPr>
          <w:rFonts w:ascii="Palatino-Roman" w:eastAsia="Times New Roman" w:hAnsi="Palatino-Roman" w:cs="Times New Roman"/>
          <w:b/>
          <w:bCs/>
          <w:color w:val="231F20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b/>
          <w:bCs/>
          <w:color w:val="231F20"/>
          <w:sz w:val="24"/>
          <w:szCs w:val="24"/>
          <w:lang w:val="en-GB" w:eastAsia="fr-FR"/>
        </w:rPr>
        <w:t>The Matched Guise Technique</w:t>
      </w:r>
    </w:p>
    <w:p w:rsidR="00007100" w:rsidRPr="00AE50A3" w:rsidRDefault="00007100">
      <w:pPr>
        <w:spacing w:after="0" w:line="480" w:lineRule="auto"/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</w:pP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The Canadian social psychologist Wallace Lambert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and his colleagues played recordings to their subjects in French and English to determine attitudinal responses to these two languages in French-speaking Canada ( Lambert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et al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. 1960 ). Though the subjects did not know it, the speaker was the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same person in two “guises” (to avoid voice quality interference in judgments).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Subjects judged the voices on scales of paired opposites such as “fast–slow,”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heavy–light,” and so on. Their responses did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lastRenderedPageBreak/>
        <w:t xml:space="preserve">not appear to directly assess language characteristics, but instead revealed underlying stereotypes based on their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language attitudes.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The success of the method set off a frenzy of such studies, most fully developed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in the work of Howard Giles and his various associates, and provided both examples and theoretical foundations in Giles and Powesland ( 1975 ). Lambert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et al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.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( 1960 ), for example, found that native English-speaking Canadians considered the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English guises of the male voices used in the experiment to be better looking,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taller, more intelligent, more dependable, kinder, more ambitious, and having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more character than the same voices in their French guise. Surprisingly, native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French-speaking Canadians showed nearly the same bias, rating the French guises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more favorably only for the two traits of kindness and religiousness; moreover,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the native French judges evaluated the French guises even more harshly than the </w:t>
      </w: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native English judges did, leading to the understanding that the evaluation was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widespread, even at the expense of downgrading their own linguistic behavior. </w:t>
      </w:r>
    </w:p>
    <w:p w:rsidR="00007100" w:rsidRPr="00AE50A3" w:rsidRDefault="00007100">
      <w:pPr>
        <w:spacing w:after="0" w:line="480" w:lineRule="auto"/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</w:pPr>
    </w:p>
    <w:p w:rsidR="00007100" w:rsidRPr="00AE50A3" w:rsidRDefault="00AE50A3">
      <w:pPr>
        <w:spacing w:after="0" w:line="480" w:lineRule="auto"/>
        <w:jc w:val="center"/>
        <w:rPr>
          <w:rFonts w:ascii="Palatino-Roman" w:eastAsia="Times New Roman" w:hAnsi="Palatino-Roman" w:cs="Times New Roman"/>
          <w:b/>
          <w:bCs/>
          <w:color w:val="231F20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b/>
          <w:bCs/>
          <w:color w:val="231F20"/>
          <w:sz w:val="24"/>
          <w:szCs w:val="24"/>
          <w:lang w:val="en-GB" w:eastAsia="fr-FR"/>
        </w:rPr>
        <w:t>Further Works of Language Attitudes</w:t>
      </w:r>
    </w:p>
    <w:p w:rsidR="00007100" w:rsidRPr="00AE50A3" w:rsidRDefault="00007100">
      <w:pPr>
        <w:spacing w:after="0" w:line="480" w:lineRule="auto"/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</w:pPr>
    </w:p>
    <w:p w:rsidR="00007100" w:rsidRPr="00AE50A3" w:rsidRDefault="00AE5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Further work in this format provided a lasting template for attitude studies –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the “three factor groups.” Analyses of large amounts of data regularly grouped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together various paired opposites which pointed to the constructs of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competence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,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personal integrity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and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social attractiveness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in the evaluation </w:t>
      </w:r>
      <w:r>
        <w:rPr>
          <w:rFonts w:ascii="Palatino-Roman" w:eastAsia="Times New Roman" w:hAnsi="Palatino-Roman" w:cs="Times New Roman"/>
          <w:color w:val="231F20"/>
          <w:sz w:val="24"/>
          <w:szCs w:val="24"/>
          <w:lang w:val="en-US" w:eastAsia="fr-FR"/>
        </w:rPr>
        <w:t>&lt;!!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>of speaker voices (summarized in Lambert 1967 ). Subs</w:t>
      </w:r>
      <w:r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>equent research has confirmed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that these constructs are very often at work, and, more interestingly, that standard or “admired accent” speakers are most often judged highest on the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competence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dimension while nonstandard and regionally and/or ethnically distinct speakers are often rated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higher for the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integrity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lastRenderedPageBreak/>
        <w:t xml:space="preserve">and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attractiveness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 dimensions. More recent work has often </w:t>
      </w:r>
      <w:r w:rsidRPr="00AE50A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E50A3">
        <w:rPr>
          <w:rFonts w:ascii="Palatino-Roman" w:eastAsia="Times New Roman" w:hAnsi="Palatino-Roman" w:cs="Times New Roman"/>
          <w:color w:val="231F20"/>
          <w:sz w:val="24"/>
          <w:szCs w:val="24"/>
          <w:lang w:val="en-GB" w:eastAsia="fr-FR"/>
        </w:rPr>
        <w:t xml:space="preserve">conflated the two latter categories into one, usually referred to as </w:t>
      </w:r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solid</w:t>
      </w:r>
      <w:bookmarkStart w:id="0" w:name="_GoBack"/>
      <w:bookmarkEnd w:id="0"/>
      <w:r w:rsidRPr="00AE50A3">
        <w:rPr>
          <w:rFonts w:ascii="Palatino-Italic" w:eastAsia="Times New Roman" w:hAnsi="Palatino-Italic" w:cs="Times New Roman"/>
          <w:i/>
          <w:iCs/>
          <w:color w:val="231F20"/>
          <w:sz w:val="24"/>
          <w:szCs w:val="24"/>
          <w:lang w:val="en-GB" w:eastAsia="fr-FR"/>
        </w:rPr>
        <w:t>arity.</w:t>
      </w:r>
    </w:p>
    <w:p w:rsidR="00007100" w:rsidRPr="00AE50A3" w:rsidRDefault="000071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sectPr w:rsidR="00007100" w:rsidRPr="00AE50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E6" w:rsidRDefault="001423E6">
      <w:pPr>
        <w:spacing w:line="240" w:lineRule="auto"/>
      </w:pPr>
      <w:r>
        <w:separator/>
      </w:r>
    </w:p>
  </w:endnote>
  <w:endnote w:type="continuationSeparator" w:id="0">
    <w:p w:rsidR="001423E6" w:rsidRDefault="00142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-Roman">
    <w:altName w:val="Times New Roman"/>
    <w:charset w:val="00"/>
    <w:family w:val="roman"/>
    <w:pitch w:val="default"/>
  </w:font>
  <w:font w:name="Palatino-Italic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E6" w:rsidRDefault="001423E6">
      <w:pPr>
        <w:spacing w:after="0"/>
      </w:pPr>
      <w:r>
        <w:separator/>
      </w:r>
    </w:p>
  </w:footnote>
  <w:footnote w:type="continuationSeparator" w:id="0">
    <w:p w:rsidR="001423E6" w:rsidRDefault="001423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B9"/>
    <w:rsid w:val="00007100"/>
    <w:rsid w:val="000704B3"/>
    <w:rsid w:val="001423E6"/>
    <w:rsid w:val="002A3A98"/>
    <w:rsid w:val="002D7788"/>
    <w:rsid w:val="008069D3"/>
    <w:rsid w:val="008655BA"/>
    <w:rsid w:val="00AE50A3"/>
    <w:rsid w:val="00DC34B9"/>
    <w:rsid w:val="054526F3"/>
    <w:rsid w:val="6D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7FFE0-5A86-4451-9E32-ED99C06C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Compte Microsoft</cp:lastModifiedBy>
  <cp:revision>2</cp:revision>
  <dcterms:created xsi:type="dcterms:W3CDTF">2022-01-05T22:43:00Z</dcterms:created>
  <dcterms:modified xsi:type="dcterms:W3CDTF">2024-11-13T12:49:00Z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1036-11.2.0.11341</vt:lpwstr>
  </property>
  <property fmtid="{D5CDD505-2E9C-101B-9397-08002B2CF9AE}" pid="3" name="ICV">
    <vt:lpwstr>E34A70AEB87045F6826B2557A173B286</vt:lpwstr>
  </property>
</Properties>
</file>